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r>
        <w:t xml:space="preserve"/>
      </w:r>
    </w:p>
    <w:p>
      <w:pPr>
        <w:spacing w:after="120" w:before="0"/>
        <w:jc w:val="center"/>
      </w:pPr>
      <w:r>
        <w:rPr>
          <w:rFonts w:ascii="Arial" w:cs="Arial" w:eastAsia="Arial" w:hAnsi="Arial"/>
          <w:b/>
          <w:bCs/>
          <w:color w:val="1F3864"/>
          <w:sz w:val="40"/>
          <w:szCs w:val="40"/>
        </w:rPr>
        <w:t xml:space="preserve">EFREI Paris</w:t>
      </w:r>
    </w:p>
    <w:p>
      <w:pPr>
        <w:spacing w:after="720" w:before="0"/>
        <w:jc w:val="center"/>
      </w:pPr>
      <w:r>
        <w:rPr>
          <w:rFonts w:ascii="Arial" w:cs="Arial" w:eastAsia="Arial" w:hAnsi="Arial"/>
          <w:i/>
          <w:iCs/>
          <w:color w:val="555555"/>
          <w:sz w:val="24"/>
          <w:szCs w:val="24"/>
        </w:rPr>
        <w:t xml:space="preserve">Ecole d'ingenieur du numerique</w:t>
      </w:r>
    </w:p>
    <w:p>
      <w:pPr>
        <w:pBdr>
          <w:bottom w:val="single" w:color="2E5F8A" w:sz="8" w:space="6"/>
        </w:pBdr>
        <w:spacing w:after="480" w:before="0"/>
        <w:jc w:val="center"/>
      </w:pPr>
      <w:r>
        <w:rPr>
          <w:rFonts w:ascii="Arial" w:cs="Arial" w:eastAsia="Arial" w:hAnsi="Arial"/>
          <w:color w:val="444444"/>
          <w:sz w:val="24"/>
          <w:szCs w:val="24"/>
        </w:rPr>
        <w:t xml:space="preserve">Rapport de Projet  -  Master 1 Data Engineering</w:t>
      </w:r>
    </w:p>
    <w:p>
      <w:pPr>
        <w:spacing w:after="280" w:before="480"/>
        <w:jc w:val="center"/>
      </w:pPr>
      <w:r>
        <w:rPr>
          <w:rFonts w:ascii="Arial" w:cs="Arial" w:eastAsia="Arial" w:hAnsi="Arial"/>
          <w:b/>
          <w:bCs/>
          <w:color w:val="1F3864"/>
          <w:sz w:val="36"/>
          <w:szCs w:val="36"/>
        </w:rPr>
        <w:t xml:space="preserve">Optimisation du Retour sur Investissement Marketing</w:t>
      </w:r>
    </w:p>
    <w:p>
      <w:pPr>
        <w:spacing w:after="960" w:before="0"/>
        <w:jc w:val="center"/>
      </w:pPr>
      <w:r>
        <w:rPr>
          <w:rFonts w:ascii="Arial" w:cs="Arial" w:eastAsia="Arial" w:hAnsi="Arial"/>
          <w:i/>
          <w:iCs/>
          <w:color w:val="555555"/>
          <w:sz w:val="24"/>
          <w:szCs w:val="24"/>
        </w:rPr>
        <w:t xml:space="preserve">Prediction des ventes par apprentissage automatique multi-modeles</w:t>
      </w:r>
    </w:p>
    <w:p>
      <w:pPr>
        <w:pBdr>
          <w:top w:val="single" w:color="CCCCCC" w:sz="4" w:space="6"/>
        </w:pBdr>
        <w:spacing w:after="360" w:before="0"/>
        <w:jc w:val="center"/>
      </w:pPr>
      <w:r>
        <w:rPr>
          <w:rFonts w:ascii="Arial" w:cs="Arial" w:eastAsia="Arial" w:hAnsi="Arial"/>
          <w:color w:val="666666"/>
          <w:sz w:val="22"/>
          <w:szCs w:val="22"/>
        </w:rPr>
        <w:t xml:space="preserve">Auteurs</w:t>
      </w:r>
    </w:p>
    <w:p>
      <w:pPr>
        <w:spacing w:after="80" w:before="0"/>
        <w:jc w:val="center"/>
      </w:pPr>
      <w:r>
        <w:rPr>
          <w:rFonts w:ascii="Arial" w:cs="Arial" w:eastAsia="Arial" w:hAnsi="Arial"/>
          <w:b/>
          <w:bCs/>
          <w:color w:val="1F3864"/>
          <w:sz w:val="28"/>
          <w:szCs w:val="28"/>
        </w:rPr>
        <w:t xml:space="preserve">LE Quang Dat</w:t>
      </w:r>
    </w:p>
    <w:p>
      <w:pPr>
        <w:spacing w:after="720" w:before="0"/>
        <w:jc w:val="center"/>
      </w:pPr>
      <w:r>
        <w:rPr>
          <w:rFonts w:ascii="Arial" w:cs="Arial" w:eastAsia="Arial" w:hAnsi="Arial"/>
          <w:b/>
          <w:bCs/>
          <w:color w:val="1F3864"/>
          <w:sz w:val="28"/>
          <w:szCs w:val="28"/>
        </w:rPr>
        <w:t xml:space="preserve">Adrien CHUEMBOU MBAH</w:t>
      </w:r>
    </w:p>
    <w:p>
      <w:pPr>
        <w:spacing w:after="80" w:before="0"/>
        <w:jc w:val="center"/>
      </w:pPr>
      <w:r>
        <w:rPr>
          <w:rFonts w:ascii="Arial" w:cs="Arial" w:eastAsia="Arial" w:hAnsi="Arial"/>
          <w:color w:val="666666"/>
          <w:sz w:val="22"/>
          <w:szCs w:val="22"/>
        </w:rPr>
        <w:t xml:space="preserve">Annee universitaire 2025 - 2026</w:t>
      </w:r>
    </w:p>
    <w:p>
      <w:pPr>
        <w:spacing w:after="0" w:before="0"/>
        <w:jc w:val="center"/>
      </w:pPr>
      <w:r>
        <w:rPr>
          <w:rFonts w:ascii="Arial" w:cs="Arial" w:eastAsia="Arial" w:hAnsi="Arial"/>
          <w:color w:val="999999"/>
          <w:sz w:val="20"/>
          <w:szCs w:val="20"/>
        </w:rPr>
        <w:t xml:space="preserve">Reference : RNCP40875</w:t>
      </w:r>
    </w:p>
    <w:p>
      <w:r>
        <w:br w:type="page"/>
      </w:r>
    </w:p>
    <w:p>
      <w:pPr>
        <w:pStyle w:val="Heading1"/>
        <w:pBdr>
          <w:bottom w:val="single" w:color="2E5F8A" w:sz="6" w:space="6"/>
        </w:pBdr>
        <w:spacing w:after="160" w:before="200"/>
      </w:pPr>
      <w:r>
        <w:rPr>
          <w:rFonts w:ascii="Arial" w:cs="Arial" w:eastAsia="Arial" w:hAnsi="Arial"/>
          <w:b/>
          <w:bCs/>
          <w:color w:val="1F3864"/>
          <w:sz w:val="28"/>
          <w:szCs w:val="28"/>
        </w:rPr>
        <w:t xml:space="preserve">Table des matieres</w:t>
      </w:r>
    </w:p>
    <w:p>
      <w:pPr>
        <w:spacing w:after="60" w:before="60"/>
      </w:pPr>
      <w:r>
        <w:rPr>
          <w:rFonts w:ascii="Arial" w:cs="Arial" w:eastAsia="Arial" w:hAnsi="Arial"/>
          <w:color w:val="333333"/>
          <w:sz w:val="22"/>
          <w:szCs w:val="22"/>
        </w:rPr>
        <w:t xml:space="preserve">Resume executif</w:t>
      </w:r>
      <w:r>
        <w:rPr>
          <w:rFonts w:ascii="Arial" w:cs="Arial" w:eastAsia="Arial" w:hAnsi="Arial"/>
          <w:color w:val="888888"/>
          <w:sz w:val="22"/>
          <w:szCs w:val="22"/>
        </w:rPr>
        <w:t xml:space="preserve">  .......................................................  3</w:t>
      </w:r>
    </w:p>
    <w:p>
      <w:pPr>
        <w:spacing w:after="60" w:before="60"/>
      </w:pPr>
      <w:r>
        <w:rPr>
          <w:rFonts w:ascii="Arial" w:cs="Arial" w:eastAsia="Arial" w:hAnsi="Arial"/>
          <w:color w:val="333333"/>
          <w:sz w:val="22"/>
          <w:szCs w:val="22"/>
        </w:rPr>
        <w:t xml:space="preserve">1. Introduction</w:t>
      </w:r>
      <w:r>
        <w:rPr>
          <w:rFonts w:ascii="Arial" w:cs="Arial" w:eastAsia="Arial" w:hAnsi="Arial"/>
          <w:color w:val="888888"/>
          <w:sz w:val="22"/>
          <w:szCs w:val="22"/>
        </w:rPr>
        <w:t xml:space="preserve">  .......................................................  4</w:t>
      </w:r>
    </w:p>
    <w:p>
      <w:pPr>
        <w:spacing w:after="60" w:before="60"/>
      </w:pPr>
      <w:r>
        <w:rPr>
          <w:rFonts w:ascii="Arial" w:cs="Arial" w:eastAsia="Arial" w:hAnsi="Arial"/>
          <w:color w:val="333333"/>
          <w:sz w:val="22"/>
          <w:szCs w:val="22"/>
        </w:rPr>
        <w:t xml:space="preserve">   1.1 Contexte et motivation</w:t>
      </w:r>
      <w:r>
        <w:rPr>
          <w:rFonts w:ascii="Arial" w:cs="Arial" w:eastAsia="Arial" w:hAnsi="Arial"/>
          <w:color w:val="888888"/>
          <w:sz w:val="22"/>
          <w:szCs w:val="22"/>
        </w:rPr>
        <w:t xml:space="preserve">  .........................................  4</w:t>
      </w:r>
    </w:p>
    <w:p>
      <w:pPr>
        <w:spacing w:after="60" w:before="60"/>
      </w:pPr>
      <w:r>
        <w:rPr>
          <w:rFonts w:ascii="Arial" w:cs="Arial" w:eastAsia="Arial" w:hAnsi="Arial"/>
          <w:color w:val="333333"/>
          <w:sz w:val="22"/>
          <w:szCs w:val="22"/>
        </w:rPr>
        <w:t xml:space="preserve">   1.2 Objectifs du projet</w:t>
      </w:r>
      <w:r>
        <w:rPr>
          <w:rFonts w:ascii="Arial" w:cs="Arial" w:eastAsia="Arial" w:hAnsi="Arial"/>
          <w:color w:val="888888"/>
          <w:sz w:val="22"/>
          <w:szCs w:val="22"/>
        </w:rPr>
        <w:t xml:space="preserve">  ............................................  4</w:t>
      </w:r>
    </w:p>
    <w:p>
      <w:pPr>
        <w:spacing w:after="60" w:before="60"/>
      </w:pPr>
      <w:r>
        <w:rPr>
          <w:rFonts w:ascii="Arial" w:cs="Arial" w:eastAsia="Arial" w:hAnsi="Arial"/>
          <w:color w:val="333333"/>
          <w:sz w:val="22"/>
          <w:szCs w:val="22"/>
        </w:rPr>
        <w:t xml:space="preserve">   1.3 Organisation du rapport</w:t>
      </w:r>
      <w:r>
        <w:rPr>
          <w:rFonts w:ascii="Arial" w:cs="Arial" w:eastAsia="Arial" w:hAnsi="Arial"/>
          <w:color w:val="888888"/>
          <w:sz w:val="22"/>
          <w:szCs w:val="22"/>
        </w:rPr>
        <w:t xml:space="preserve">  ........................................  4</w:t>
      </w:r>
    </w:p>
    <w:p>
      <w:pPr>
        <w:spacing w:after="60" w:before="60"/>
      </w:pPr>
      <w:r>
        <w:rPr>
          <w:rFonts w:ascii="Arial" w:cs="Arial" w:eastAsia="Arial" w:hAnsi="Arial"/>
          <w:color w:val="333333"/>
          <w:sz w:val="22"/>
          <w:szCs w:val="22"/>
        </w:rPr>
        <w:t xml:space="preserve">2. Donnees</w:t>
      </w:r>
      <w:r>
        <w:rPr>
          <w:rFonts w:ascii="Arial" w:cs="Arial" w:eastAsia="Arial" w:hAnsi="Arial"/>
          <w:color w:val="888888"/>
          <w:sz w:val="22"/>
          <w:szCs w:val="22"/>
        </w:rPr>
        <w:t xml:space="preserve">  ............................................................  5</w:t>
      </w:r>
    </w:p>
    <w:p>
      <w:pPr>
        <w:spacing w:after="60" w:before="60"/>
      </w:pPr>
      <w:r>
        <w:rPr>
          <w:rFonts w:ascii="Arial" w:cs="Arial" w:eastAsia="Arial" w:hAnsi="Arial"/>
          <w:color w:val="333333"/>
          <w:sz w:val="22"/>
          <w:szCs w:val="22"/>
        </w:rPr>
        <w:t xml:space="preserve">   2.1 Description du jeu de donnees</w:t>
      </w:r>
      <w:r>
        <w:rPr>
          <w:rFonts w:ascii="Arial" w:cs="Arial" w:eastAsia="Arial" w:hAnsi="Arial"/>
          <w:color w:val="888888"/>
          <w:sz w:val="22"/>
          <w:szCs w:val="22"/>
        </w:rPr>
        <w:t xml:space="preserve">  ..................................  5</w:t>
      </w:r>
    </w:p>
    <w:p>
      <w:pPr>
        <w:spacing w:after="60" w:before="60"/>
      </w:pPr>
      <w:r>
        <w:rPr>
          <w:rFonts w:ascii="Arial" w:cs="Arial" w:eastAsia="Arial" w:hAnsi="Arial"/>
          <w:color w:val="333333"/>
          <w:sz w:val="22"/>
          <w:szCs w:val="22"/>
        </w:rPr>
        <w:t xml:space="preserve">   2.2 Statistiques descriptives</w:t>
      </w:r>
      <w:r>
        <w:rPr>
          <w:rFonts w:ascii="Arial" w:cs="Arial" w:eastAsia="Arial" w:hAnsi="Arial"/>
          <w:color w:val="888888"/>
          <w:sz w:val="22"/>
          <w:szCs w:val="22"/>
        </w:rPr>
        <w:t xml:space="preserve">  ......................................  5</w:t>
      </w:r>
    </w:p>
    <w:p>
      <w:pPr>
        <w:spacing w:after="60" w:before="60"/>
      </w:pPr>
      <w:r>
        <w:rPr>
          <w:rFonts w:ascii="Arial" w:cs="Arial" w:eastAsia="Arial" w:hAnsi="Arial"/>
          <w:color w:val="333333"/>
          <w:sz w:val="22"/>
          <w:szCs w:val="22"/>
        </w:rPr>
        <w:t xml:space="preserve">   2.3 Analyse exploratoire</w:t>
      </w:r>
      <w:r>
        <w:rPr>
          <w:rFonts w:ascii="Arial" w:cs="Arial" w:eastAsia="Arial" w:hAnsi="Arial"/>
          <w:color w:val="888888"/>
          <w:sz w:val="22"/>
          <w:szCs w:val="22"/>
        </w:rPr>
        <w:t xml:space="preserve">  ...........................................  6</w:t>
      </w:r>
    </w:p>
    <w:p>
      <w:pPr>
        <w:spacing w:after="60" w:before="60"/>
      </w:pPr>
      <w:r>
        <w:rPr>
          <w:rFonts w:ascii="Arial" w:cs="Arial" w:eastAsia="Arial" w:hAnsi="Arial"/>
          <w:color w:val="333333"/>
          <w:sz w:val="22"/>
          <w:szCs w:val="22"/>
        </w:rPr>
        <w:t xml:space="preserve">3. Methodologie</w:t>
      </w:r>
      <w:r>
        <w:rPr>
          <w:rFonts w:ascii="Arial" w:cs="Arial" w:eastAsia="Arial" w:hAnsi="Arial"/>
          <w:color w:val="888888"/>
          <w:sz w:val="22"/>
          <w:szCs w:val="22"/>
        </w:rPr>
        <w:t xml:space="preserve">  .......................................................  7</w:t>
      </w:r>
    </w:p>
    <w:p>
      <w:pPr>
        <w:spacing w:after="60" w:before="60"/>
      </w:pPr>
      <w:r>
        <w:rPr>
          <w:rFonts w:ascii="Arial" w:cs="Arial" w:eastAsia="Arial" w:hAnsi="Arial"/>
          <w:color w:val="333333"/>
          <w:sz w:val="22"/>
          <w:szCs w:val="22"/>
        </w:rPr>
        <w:t xml:space="preserve">   3.1 Pipeline de pretraitement</w:t>
      </w:r>
      <w:r>
        <w:rPr>
          <w:rFonts w:ascii="Arial" w:cs="Arial" w:eastAsia="Arial" w:hAnsi="Arial"/>
          <w:color w:val="888888"/>
          <w:sz w:val="22"/>
          <w:szCs w:val="22"/>
        </w:rPr>
        <w:t xml:space="preserve">  ......................................  7</w:t>
      </w:r>
    </w:p>
    <w:p>
      <w:pPr>
        <w:spacing w:after="60" w:before="60"/>
      </w:pPr>
      <w:r>
        <w:rPr>
          <w:rFonts w:ascii="Arial" w:cs="Arial" w:eastAsia="Arial" w:hAnsi="Arial"/>
          <w:color w:val="333333"/>
          <w:sz w:val="22"/>
          <w:szCs w:val="22"/>
        </w:rPr>
        <w:t xml:space="preserve">   3.2 Modeles de regression</w:t>
      </w:r>
      <w:r>
        <w:rPr>
          <w:rFonts w:ascii="Arial" w:cs="Arial" w:eastAsia="Arial" w:hAnsi="Arial"/>
          <w:color w:val="888888"/>
          <w:sz w:val="22"/>
          <w:szCs w:val="22"/>
        </w:rPr>
        <w:t xml:space="preserve">  ..........................................  7</w:t>
      </w:r>
    </w:p>
    <w:p>
      <w:pPr>
        <w:spacing w:after="60" w:before="60"/>
      </w:pPr>
      <w:r>
        <w:rPr>
          <w:rFonts w:ascii="Arial" w:cs="Arial" w:eastAsia="Arial" w:hAnsi="Arial"/>
          <w:color w:val="333333"/>
          <w:sz w:val="22"/>
          <w:szCs w:val="22"/>
        </w:rPr>
        <w:t xml:space="preserve">   3.3 Modeles de classification</w:t>
      </w:r>
      <w:r>
        <w:rPr>
          <w:rFonts w:ascii="Arial" w:cs="Arial" w:eastAsia="Arial" w:hAnsi="Arial"/>
          <w:color w:val="888888"/>
          <w:sz w:val="22"/>
          <w:szCs w:val="22"/>
        </w:rPr>
        <w:t xml:space="preserve">  ......................................  8</w:t>
      </w:r>
    </w:p>
    <w:p>
      <w:pPr>
        <w:spacing w:after="60" w:before="60"/>
      </w:pPr>
      <w:r>
        <w:rPr>
          <w:rFonts w:ascii="Arial" w:cs="Arial" w:eastAsia="Arial" w:hAnsi="Arial"/>
          <w:color w:val="333333"/>
          <w:sz w:val="22"/>
          <w:szCs w:val="22"/>
        </w:rPr>
        <w:t xml:space="preserve">   3.4 Optimisation des hyperparametres</w:t>
      </w:r>
      <w:r>
        <w:rPr>
          <w:rFonts w:ascii="Arial" w:cs="Arial" w:eastAsia="Arial" w:hAnsi="Arial"/>
          <w:color w:val="888888"/>
          <w:sz w:val="22"/>
          <w:szCs w:val="22"/>
        </w:rPr>
        <w:t xml:space="preserve">  ...............................  9</w:t>
      </w:r>
    </w:p>
    <w:p>
      <w:pPr>
        <w:spacing w:after="60" w:before="60"/>
      </w:pPr>
      <w:r>
        <w:rPr>
          <w:rFonts w:ascii="Arial" w:cs="Arial" w:eastAsia="Arial" w:hAnsi="Arial"/>
          <w:color w:val="333333"/>
          <w:sz w:val="22"/>
          <w:szCs w:val="22"/>
        </w:rPr>
        <w:t xml:space="preserve">   3.5 Evaluation et metriques</w:t>
      </w:r>
      <w:r>
        <w:rPr>
          <w:rFonts w:ascii="Arial" w:cs="Arial" w:eastAsia="Arial" w:hAnsi="Arial"/>
          <w:color w:val="888888"/>
          <w:sz w:val="22"/>
          <w:szCs w:val="22"/>
        </w:rPr>
        <w:t xml:space="preserve">  ........................................  9</w:t>
      </w:r>
    </w:p>
    <w:p>
      <w:pPr>
        <w:spacing w:after="60" w:before="60"/>
      </w:pPr>
      <w:r>
        <w:rPr>
          <w:rFonts w:ascii="Arial" w:cs="Arial" w:eastAsia="Arial" w:hAnsi="Arial"/>
          <w:color w:val="333333"/>
          <w:sz w:val="22"/>
          <w:szCs w:val="22"/>
        </w:rPr>
        <w:t xml:space="preserve">4. Resultats et evaluation</w:t>
      </w:r>
      <w:r>
        <w:rPr>
          <w:rFonts w:ascii="Arial" w:cs="Arial" w:eastAsia="Arial" w:hAnsi="Arial"/>
          <w:color w:val="888888"/>
          <w:sz w:val="22"/>
          <w:szCs w:val="22"/>
        </w:rPr>
        <w:t xml:space="preserve">  ............................................  10</w:t>
      </w:r>
    </w:p>
    <w:p>
      <w:pPr>
        <w:spacing w:after="60" w:before="60"/>
      </w:pPr>
      <w:r>
        <w:rPr>
          <w:rFonts w:ascii="Arial" w:cs="Arial" w:eastAsia="Arial" w:hAnsi="Arial"/>
          <w:color w:val="333333"/>
          <w:sz w:val="22"/>
          <w:szCs w:val="22"/>
        </w:rPr>
        <w:t xml:space="preserve">5. Architecture logicielle</w:t>
      </w:r>
      <w:r>
        <w:rPr>
          <w:rFonts w:ascii="Arial" w:cs="Arial" w:eastAsia="Arial" w:hAnsi="Arial"/>
          <w:color w:val="888888"/>
          <w:sz w:val="22"/>
          <w:szCs w:val="22"/>
        </w:rPr>
        <w:t xml:space="preserve">  ............................................  12</w:t>
      </w:r>
    </w:p>
    <w:p>
      <w:pPr>
        <w:spacing w:after="60" w:before="60"/>
      </w:pPr>
      <w:r>
        <w:rPr>
          <w:rFonts w:ascii="Arial" w:cs="Arial" w:eastAsia="Arial" w:hAnsi="Arial"/>
          <w:color w:val="333333"/>
          <w:sz w:val="22"/>
          <w:szCs w:val="22"/>
        </w:rPr>
        <w:t xml:space="preserve">6. Conclusion et perspectives</w:t>
      </w:r>
      <w:r>
        <w:rPr>
          <w:rFonts w:ascii="Arial" w:cs="Arial" w:eastAsia="Arial" w:hAnsi="Arial"/>
          <w:color w:val="888888"/>
          <w:sz w:val="22"/>
          <w:szCs w:val="22"/>
        </w:rPr>
        <w:t xml:space="preserve">  .........................................  14</w:t>
      </w:r>
    </w:p>
    <w:p>
      <w:pPr>
        <w:spacing w:after="60" w:before="60"/>
      </w:pPr>
      <w:r>
        <w:rPr>
          <w:rFonts w:ascii="Arial" w:cs="Arial" w:eastAsia="Arial" w:hAnsi="Arial"/>
          <w:color w:val="333333"/>
          <w:sz w:val="22"/>
          <w:szCs w:val="22"/>
        </w:rPr>
        <w:t xml:space="preserve">References</w:t>
      </w:r>
      <w:r>
        <w:rPr>
          <w:rFonts w:ascii="Arial" w:cs="Arial" w:eastAsia="Arial" w:hAnsi="Arial"/>
          <w:color w:val="888888"/>
          <w:sz w:val="22"/>
          <w:szCs w:val="22"/>
        </w:rPr>
        <w:t xml:space="preserve">  ............................................................  16</w:t>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Resume executif</w:t>
      </w:r>
    </w:p>
    <w:p>
      <w:pPr>
        <w:spacing w:after="120" w:before="80" w:line="276"/>
        <w:jc w:val="both"/>
      </w:pPr>
      <w:r>
        <w:rPr>
          <w:rFonts w:ascii="Arial" w:cs="Arial" w:eastAsia="Arial" w:hAnsi="Arial"/>
          <w:sz w:val="22"/>
          <w:szCs w:val="22"/>
        </w:rPr>
        <w:t xml:space="preserve">Ce projet s'inscrit dans le cadre du titre RNCP40875 delivre par EFREI Paris et porte sur la conception et le deploiement d'un systeme complet de prediction des ventes a partir de donnees de campagnes publicitaires multicanales. L'objectif central est de permettre a une organisation marketing d'identifier, avant tout engagement budgetaire, les combinaisons de canaux et de niveaux de depense susceptibles de maximiser le retour sur investissement.</w:t>
      </w:r>
    </w:p>
    <w:p>
      <w:pPr>
        <w:spacing w:after="120" w:before="80" w:line="276"/>
        <w:jc w:val="both"/>
      </w:pPr>
      <w:r>
        <w:rPr>
          <w:rFonts w:ascii="Arial" w:cs="Arial" w:eastAsia="Arial" w:hAnsi="Arial"/>
          <w:sz w:val="22"/>
          <w:szCs w:val="22"/>
        </w:rPr>
        <w:t xml:space="preserve">Le jeu de donnees exploite contient 4 572 campagnes historiques, chacune renseignant les budgets alloues a trois canaux - television, radio et reseaux sociaux - ainsi que le tier d'influenceur mobilise (Mega, Macro, Micro ou Nano). La variable cible est le chiffre d'affaires genere, exprime en millions d'euros.</w:t>
      </w:r>
    </w:p>
    <w:p>
      <w:pPr>
        <w:spacing w:after="120" w:before="80" w:line="276"/>
        <w:jc w:val="both"/>
      </w:pPr>
      <w:r>
        <w:rPr>
          <w:rFonts w:ascii="Arial" w:cs="Arial" w:eastAsia="Arial" w:hAnsi="Arial"/>
          <w:sz w:val="22"/>
          <w:szCs w:val="22"/>
        </w:rPr>
        <w:t xml:space="preserve">Deux axes de modelisation ont ete retenus : une regression pour estimer directement le volume de ventes, et une classification triclasse pour positionner une campagne dans une categorie de performance (Faible, Moyenne, Elevee). Quatre algorithmes ont ete entraínes et compares dans chaque axe : regression lineaire, foret aleatoire, gradient boosting et reseau de neurones multicouche. Le meilleur resultat en regression est obtenu par la foret aleatoire, avec un R2 de 0,9958 sur l'ensemble de test.</w:t>
      </w:r>
    </w:p>
    <w:p>
      <w:pPr>
        <w:spacing w:after="120" w:before="80" w:line="276"/>
        <w:jc w:val="both"/>
      </w:pPr>
      <w:r>
        <w:rPr>
          <w:rFonts w:ascii="Arial" w:cs="Arial" w:eastAsia="Arial" w:hAnsi="Arial"/>
          <w:sz w:val="22"/>
          <w:szCs w:val="22"/>
        </w:rPr>
        <w:t xml:space="preserve">Le systeme est expose via une API REST developpee avec FastAPI et un tableau de bord interactif construit sous Next.js. Une interface Streamlit complementaire offre des fonctionnalites avancees de simulation et de planification budgetaire inverse.</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1. Introduction</w:t>
      </w:r>
    </w:p>
    <w:p>
      <w:pPr>
        <w:pStyle w:val="Heading2"/>
        <w:spacing w:after="120" w:before="280"/>
      </w:pPr>
      <w:r>
        <w:rPr>
          <w:rFonts w:ascii="Arial" w:cs="Arial" w:eastAsia="Arial" w:hAnsi="Arial"/>
          <w:b/>
          <w:bCs/>
          <w:color w:val="2E5F8A"/>
          <w:sz w:val="24"/>
          <w:szCs w:val="24"/>
        </w:rPr>
        <w:t xml:space="preserve">1.1 Contexte et motivation</w:t>
      </w:r>
    </w:p>
    <w:p>
      <w:pPr>
        <w:spacing w:after="120" w:before="80" w:line="276"/>
        <w:jc w:val="both"/>
      </w:pPr>
      <w:r>
        <w:rPr>
          <w:rFonts w:ascii="Arial" w:cs="Arial" w:eastAsia="Arial" w:hAnsi="Arial"/>
          <w:sz w:val="22"/>
          <w:szCs w:val="22"/>
        </w:rPr>
        <w:t xml:space="preserve">La multiplication des canaux de communication numerique a profondement transforme la facon dont les entreprises allouent leurs budgets publicitaires. Face a la fragmentation croissante des audiences, il devient difficile d'evaluer sans outil adapte l'impact reel de chaque canal sur le chiffre d'affaires. Les decisions sont souvent prises sur la base d'indicateurs partiels ou de regles empiriques, sans capitalisation rigoureuse sur les donnees historiques.</w:t>
      </w:r>
    </w:p>
    <w:p>
      <w:pPr>
        <w:spacing w:after="120" w:before="80" w:line="276"/>
        <w:jc w:val="both"/>
      </w:pPr>
      <w:r>
        <w:rPr>
          <w:rFonts w:ascii="Arial" w:cs="Arial" w:eastAsia="Arial" w:hAnsi="Arial"/>
          <w:sz w:val="22"/>
          <w:szCs w:val="22"/>
        </w:rPr>
        <w:t xml:space="preserve">Ce projet propose une reponse a cette problematique en s'appuyant sur les methodes de l'apprentissage automatique supervise. Plutot que de chercher un modele unique et definitif, nous avons pris le parti de comparer plusieurs familles d'algorithmes et de les exposer de maniere transparente, afin que les utilisateurs finaux puissent apprecier les ecarts de performance et choisir le modele adapte a leurs contraintes.</w:t>
      </w:r>
    </w:p>
    <w:p>
      <w:pPr>
        <w:pStyle w:val="Heading2"/>
        <w:spacing w:after="120" w:before="280"/>
      </w:pPr>
      <w:r>
        <w:rPr>
          <w:rFonts w:ascii="Arial" w:cs="Arial" w:eastAsia="Arial" w:hAnsi="Arial"/>
          <w:b/>
          <w:bCs/>
          <w:color w:val="2E5F8A"/>
          <w:sz w:val="24"/>
          <w:szCs w:val="24"/>
        </w:rPr>
        <w:t xml:space="preserve">1.2 Objectifs du projet</w:t>
      </w:r>
    </w:p>
    <w:p>
      <w:pPr>
        <w:spacing w:after="120" w:before="80" w:line="276"/>
        <w:jc w:val="both"/>
      </w:pPr>
      <w:r>
        <w:rPr>
          <w:rFonts w:ascii="Arial" w:cs="Arial" w:eastAsia="Arial" w:hAnsi="Arial"/>
          <w:sz w:val="22"/>
          <w:szCs w:val="22"/>
        </w:rPr>
        <w:t xml:space="preserve">Le projet poursuit quatre objectifs complementaires. En premier lieu, il s'agit de construire un pipeline de traitement des donnees robuste, reproductible et exempt de toute fuite d'information entre les ensembles d'entrainement et de test. En deuxieme lieu, nous cherchons a entraíner et a comparer des modeles de regression et de classification capables de generaliser sur des donnees inedites. En troisieme lieu, l'ensemble du systeme doit etre deploye sous la forme d'une API et d'une interface utilisateur accessibles sans connaissance en sciences des donnees. Enfin, le projet doit fournir des outils d'interpretation des modeles - importance des variables, importance par permutation, valeurs SHAP - permettant de comprendre les facteurs determinants de la performance commerciale.</w:t>
      </w:r>
    </w:p>
    <w:p>
      <w:pPr>
        <w:pStyle w:val="Heading2"/>
        <w:spacing w:after="120" w:before="280"/>
      </w:pPr>
      <w:r>
        <w:rPr>
          <w:rFonts w:ascii="Arial" w:cs="Arial" w:eastAsia="Arial" w:hAnsi="Arial"/>
          <w:b/>
          <w:bCs/>
          <w:color w:val="2E5F8A"/>
          <w:sz w:val="24"/>
          <w:szCs w:val="24"/>
        </w:rPr>
        <w:t xml:space="preserve">1.3 Organisation du rapport</w:t>
      </w:r>
    </w:p>
    <w:p>
      <w:pPr>
        <w:spacing w:after="120" w:before="80" w:line="276"/>
        <w:jc w:val="both"/>
      </w:pPr>
      <w:r>
        <w:rPr>
          <w:rFonts w:ascii="Arial" w:cs="Arial" w:eastAsia="Arial" w:hAnsi="Arial"/>
          <w:sz w:val="22"/>
          <w:szCs w:val="22"/>
        </w:rPr>
        <w:t xml:space="preserve">Le rapport est structure de la maniere suivante. La section 2 decrit le jeu de donnees et les resultats de l'analyse exploratoire. La section 3 presente la methodologie, incluant le pipeline de pretraitement, les algorithmes retenus et la strategie d'optimisation des hyperparametres. La section 4 analyse les resultats obtenus en regression et en classification. La section 5 decrit l'architecture logicielle du systeme deploye. Enfin, la section 6 conclut et ouvre des perspectives d'amelioration.</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2. Donnees</w:t>
      </w:r>
    </w:p>
    <w:p>
      <w:pPr>
        <w:pStyle w:val="Heading2"/>
        <w:spacing w:after="120" w:before="280"/>
      </w:pPr>
      <w:r>
        <w:rPr>
          <w:rFonts w:ascii="Arial" w:cs="Arial" w:eastAsia="Arial" w:hAnsi="Arial"/>
          <w:b/>
          <w:bCs/>
          <w:color w:val="2E5F8A"/>
          <w:sz w:val="24"/>
          <w:szCs w:val="24"/>
        </w:rPr>
        <w:t xml:space="preserve">2.1 Description du jeu de donnees</w:t>
      </w:r>
    </w:p>
    <w:p>
      <w:pPr>
        <w:spacing w:after="120" w:before="80" w:line="276"/>
        <w:jc w:val="both"/>
      </w:pPr>
      <w:r>
        <w:rPr>
          <w:rFonts w:ascii="Arial" w:cs="Arial" w:eastAsia="Arial" w:hAnsi="Arial"/>
          <w:sz w:val="22"/>
          <w:szCs w:val="22"/>
        </w:rPr>
        <w:t xml:space="preserve">Le jeu de donnees mis a disposition contient 4 572 observations correspondant a des campagnes publicitaires historiques. Chaque observation est caracterisee par quatre variables d'entree et une variable de sortie numerique. Le tableau ci-dessous recapitule les variables disponibles.</w:t>
      </w:r>
    </w:p>
    <w:p>
      <w:pPr>
        <w:spacing w:after="80" w:before="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6"/>
      </w:tblGrid>
      <w:tr>
        <w:trPr>
          <w:tblHeader/>
        </w:trPr>
        <w:tc>
          <w:tcPr>
            <w:tcW w:type="dxa" w:w="226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Variable</w:t>
            </w:r>
          </w:p>
        </w:tc>
        <w:tc>
          <w:tcPr>
            <w:tcW w:type="dxa" w:w="226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453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TV</w:t>
            </w:r>
          </w:p>
        </w:tc>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Numerique continu</w:t>
            </w:r>
          </w:p>
        </w:tc>
        <w:tc>
          <w:tcPr>
            <w:tcW w:type="dxa" w:w="45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Budget alloue a la television (en millions d'euros)</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Radio</w:t>
            </w:r>
          </w:p>
        </w:tc>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Numerique continu</w:t>
            </w:r>
          </w:p>
        </w:tc>
        <w:tc>
          <w:tcPr>
            <w:tcW w:type="dxa" w:w="4536"/>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Budget alloue a la radio (en millions d'euros)</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Social Media</w:t>
            </w:r>
          </w:p>
        </w:tc>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Numerique continu</w:t>
            </w:r>
          </w:p>
        </w:tc>
        <w:tc>
          <w:tcPr>
            <w:tcW w:type="dxa" w:w="45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Budget alloue aux reseaux sociaux (en millions d'euros)</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Influencer</w:t>
            </w:r>
          </w:p>
        </w:tc>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Categoriel</w:t>
            </w:r>
          </w:p>
        </w:tc>
        <w:tc>
          <w:tcPr>
            <w:tcW w:type="dxa" w:w="4536"/>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Tier d'influenceur : Mega, Macro, Micro ou Nano</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Sales</w:t>
            </w:r>
          </w:p>
        </w:tc>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Cible numerique</w:t>
            </w:r>
          </w:p>
        </w:tc>
        <w:tc>
          <w:tcPr>
            <w:tcW w:type="dxa" w:w="45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Chiffre d'affaires genere (variable cible en regression)</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perf_class</w:t>
            </w:r>
          </w:p>
        </w:tc>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Cible categorielle</w:t>
            </w:r>
          </w:p>
        </w:tc>
        <w:tc>
          <w:tcPr>
            <w:tcW w:type="dxa" w:w="4536"/>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Classe de performance : Low / Medium / High (derivee de Sales par terciles)</w:t>
            </w:r>
          </w:p>
        </w:tc>
      </w:tr>
    </w:tbl>
    <w:p>
      <w:pPr>
        <w:spacing w:after="80" w:before="0"/>
      </w:pPr>
      <w:r>
        <w:t xml:space="preserve"/>
      </w:r>
    </w:p>
    <w:p>
      <w:pPr>
        <w:spacing w:after="120" w:before="80" w:line="276"/>
        <w:jc w:val="both"/>
      </w:pPr>
      <w:r>
        <w:rPr>
          <w:rFonts w:ascii="Arial" w:cs="Arial" w:eastAsia="Arial" w:hAnsi="Arial"/>
          <w:sz w:val="22"/>
          <w:szCs w:val="22"/>
        </w:rPr>
        <w:t xml:space="preserve">La variable cible de classification, perf_class, n'est pas fournie directement dans le fichier source. Elle est calculee a la volee lors du chargement des donnees par decoupage en terciles : les campagnes dont les ventes sont inferieures au 33e percentile sont classees Low, celles comprises entre le 33e et le 66e percentile sont classees Medium, et celles au-dela du 66e percentile sont classees High. Ce decoupage garantit une distribution approximativement equilibree entre les trois classes, ce qui facilite l'apprentissage et l'evaluation des modeles de classification.</w:t>
      </w:r>
    </w:p>
    <w:p>
      <w:pPr>
        <w:pStyle w:val="Heading2"/>
        <w:spacing w:after="120" w:before="280"/>
      </w:pPr>
      <w:r>
        <w:rPr>
          <w:rFonts w:ascii="Arial" w:cs="Arial" w:eastAsia="Arial" w:hAnsi="Arial"/>
          <w:b/>
          <w:bCs/>
          <w:color w:val="2E5F8A"/>
          <w:sz w:val="24"/>
          <w:szCs w:val="24"/>
        </w:rPr>
        <w:t xml:space="preserve">2.2 Statistiques descriptives</w:t>
      </w:r>
    </w:p>
    <w:p>
      <w:pPr>
        <w:spacing w:after="120" w:before="80" w:line="276"/>
        <w:jc w:val="both"/>
      </w:pPr>
      <w:r>
        <w:rPr>
          <w:rFonts w:ascii="Arial" w:cs="Arial" w:eastAsia="Arial" w:hAnsi="Arial"/>
          <w:sz w:val="22"/>
          <w:szCs w:val="22"/>
        </w:rPr>
        <w:t xml:space="preserve">Les plages de variation des variables numeriques sont tres dissymetriques : le budget television peut atteindre 297 millions d'euros, tandis que les reseaux sociaux ne depassent pas 27 millions. Cette difference d'echelle justifie l'application d'une normalisation par standardisation avant tout apprentissage base sur des distances ou des gradients. Le tableau suivant resume les statistiques principales des variables numeriques.</w:t>
      </w:r>
    </w:p>
    <w:p>
      <w:pPr>
        <w:spacing w:after="80" w:before="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1701"/>
        <w:gridCol w:w="1701"/>
        <w:gridCol w:w="1701"/>
        <w:gridCol w:w="1701"/>
      </w:tblGrid>
      <w:tr>
        <w:trPr>
          <w:tblHeader/>
        </w:trPr>
        <w:tc>
          <w:tcPr>
            <w:tcW w:type="dxa" w:w="226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Variable</w:t>
            </w:r>
          </w:p>
        </w:tc>
        <w:tc>
          <w:tcPr>
            <w:tcW w:type="dxa" w:w="170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Minimum</w:t>
            </w:r>
          </w:p>
        </w:tc>
        <w:tc>
          <w:tcPr>
            <w:tcW w:type="dxa" w:w="170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Maximum</w:t>
            </w:r>
          </w:p>
        </w:tc>
        <w:tc>
          <w:tcPr>
            <w:tcW w:type="dxa" w:w="170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Moyenne</w:t>
            </w:r>
          </w:p>
        </w:tc>
        <w:tc>
          <w:tcPr>
            <w:tcW w:type="dxa" w:w="170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Ecart-type</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TV (M EUR)</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0,0</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297,0</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148,6</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85,6</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Radio (M EUR)</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0,0</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49,6</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22,1</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14,3</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Social Media (M EUR)</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0,0</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26,9</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10,7</w:t>
            </w:r>
          </w:p>
        </w:tc>
        <w:tc>
          <w:tcPr>
            <w:tcW w:type="dxa" w:w="170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7,2</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Sales (M EUR)</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environ 0</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environ 400</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193,2</w:t>
            </w:r>
          </w:p>
        </w:tc>
        <w:tc>
          <w:tcPr>
            <w:tcW w:type="dxa" w:w="170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n/a</w:t>
            </w:r>
          </w:p>
        </w:tc>
      </w:tr>
    </w:tbl>
    <w:p>
      <w:pPr>
        <w:spacing w:after="80" w:before="0"/>
      </w:pPr>
      <w:r>
        <w:t xml:space="preserve"/>
      </w:r>
    </w:p>
    <w:p>
      <w:pPr>
        <w:pStyle w:val="Heading2"/>
        <w:spacing w:after="120" w:before="280"/>
      </w:pPr>
      <w:r>
        <w:rPr>
          <w:rFonts w:ascii="Arial" w:cs="Arial" w:eastAsia="Arial" w:hAnsi="Arial"/>
          <w:b/>
          <w:bCs/>
          <w:color w:val="2E5F8A"/>
          <w:sz w:val="24"/>
          <w:szCs w:val="24"/>
        </w:rPr>
        <w:t xml:space="preserve">2.3 Analyse exploratoire</w:t>
      </w:r>
    </w:p>
    <w:p>
      <w:pPr>
        <w:spacing w:after="120" w:before="80" w:line="276"/>
        <w:jc w:val="both"/>
      </w:pPr>
      <w:r>
        <w:rPr>
          <w:rFonts w:ascii="Arial" w:cs="Arial" w:eastAsia="Arial" w:hAnsi="Arial"/>
          <w:sz w:val="22"/>
          <w:szCs w:val="22"/>
        </w:rPr>
        <w:t xml:space="preserve">L'analyse de la matrice de correlation revele que le budget television est la variable la plus fortement correlee avec les ventes, avec un coefficient de Pearson avoisinant 0,78. La radio et les reseaux sociaux presentent des correlations significatives mais plus modestes. Ces resultats suggerent qu'un modele lineaire simple pourrait deja capturer une part importante de la variance, ce que nos experiences confirment avec un R2 de 0,96 pour la regression lineaire.</w:t>
      </w:r>
    </w:p>
    <w:p>
      <w:pPr>
        <w:spacing w:after="120" w:before="80" w:line="276"/>
        <w:jc w:val="both"/>
      </w:pPr>
      <w:r>
        <w:rPr>
          <w:rFonts w:ascii="Arial" w:cs="Arial" w:eastAsia="Arial" w:hAnsi="Arial"/>
          <w:sz w:val="22"/>
          <w:szCs w:val="22"/>
        </w:rPr>
        <w:t xml:space="preserve">L'analyse par tier d'influenceur revele des differences de performance notables. Les campagnes mobilisant des influenceurs de rang Mega affichent en moyenne des ventes plus elevees, tandis que les campagnes Nano se situent systematiquement en bas du spectre. Cette observation valide l'inclusion de cette variable categorielle dans les modeles, meme si son encodage par one-hot avec suppression de la premiere modalite introduit une contrainte d'interpretation a prendre en compte.</w:t>
      </w:r>
    </w:p>
    <w:p>
      <w:pPr>
        <w:spacing w:after="120" w:before="80" w:line="276"/>
        <w:jc w:val="both"/>
      </w:pPr>
      <w:r>
        <w:rPr>
          <w:rFonts w:ascii="Arial" w:cs="Arial" w:eastAsia="Arial" w:hAnsi="Arial"/>
          <w:sz w:val="22"/>
          <w:szCs w:val="22"/>
        </w:rPr>
        <w:t xml:space="preserve">Aucune valeur aberrante extreme necessitant une exclusion n'a ete identifiee. Les quelques valeurs manquantes presentes sont traitees par le pipeline de pretraitement : imputation par la mediane pour les variables numeriques et par la modalite la plus frequente pour la variable categorielle.</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3. Methodologie</w:t>
      </w:r>
    </w:p>
    <w:p>
      <w:pPr>
        <w:pStyle w:val="Heading2"/>
        <w:spacing w:after="120" w:before="280"/>
      </w:pPr>
      <w:r>
        <w:rPr>
          <w:rFonts w:ascii="Arial" w:cs="Arial" w:eastAsia="Arial" w:hAnsi="Arial"/>
          <w:b/>
          <w:bCs/>
          <w:color w:val="2E5F8A"/>
          <w:sz w:val="24"/>
          <w:szCs w:val="24"/>
        </w:rPr>
        <w:t xml:space="preserve">3.1 Pipeline de pretraitement</w:t>
      </w:r>
    </w:p>
    <w:p>
      <w:pPr>
        <w:spacing w:after="120" w:before="80" w:line="276"/>
        <w:jc w:val="both"/>
      </w:pPr>
      <w:r>
        <w:rPr>
          <w:rFonts w:ascii="Arial" w:cs="Arial" w:eastAsia="Arial" w:hAnsi="Arial"/>
          <w:sz w:val="22"/>
          <w:szCs w:val="22"/>
        </w:rPr>
        <w:t xml:space="preserve">Le pretraitement est centralise dans le module src/preprocessing.py, partage entre le pipeline FastAPI et le pipeline Streamlit. Cette centralisation garantit que les deux interfaces applicatives appliquent strictement les memes transformations, eliminant ainsi les risques d'inconsistance entre l'entrainement et l'inference en production.</w:t>
      </w:r>
    </w:p>
    <w:p>
      <w:pPr>
        <w:spacing w:after="120" w:before="80" w:line="276"/>
        <w:jc w:val="both"/>
      </w:pPr>
      <w:r>
        <w:rPr>
          <w:rFonts w:ascii="Arial" w:cs="Arial" w:eastAsia="Arial" w:hAnsi="Arial"/>
          <w:sz w:val="22"/>
          <w:szCs w:val="22"/>
        </w:rPr>
        <w:t xml:space="preserve">Le pipeline est construit avec la classe ColumnTransformer de scikit-learn, qui applique des transformations differenciees selon le type de chaque variable. Les variables numeriques (TV, Radio, Social Media) sont d'abord soumises a une imputation par la mediane afin de traiter les valeurs manquantes, puis normalisees par standardisation via un StandardScaler. La variable categorielle Influencer est imputee par la modalite la plus frequente, puis encodee par one-hot avec suppression de la premiere modalite (OneHotEncoder, parametre drop='first'), ce qui evite la multicolinearite parfaite dans le cas des modeles lineaires.</w:t>
      </w:r>
    </w:p>
    <w:p>
      <w:pPr>
        <w:spacing w:after="120" w:before="80" w:line="276"/>
        <w:jc w:val="both"/>
      </w:pPr>
      <w:r>
        <w:rPr>
          <w:rFonts w:ascii="Arial" w:cs="Arial" w:eastAsia="Arial" w:hAnsi="Arial"/>
          <w:sz w:val="22"/>
          <w:szCs w:val="22"/>
        </w:rPr>
        <w:t xml:space="preserve">Un soin particulier est apporte a l'absence de fuite de donnees. Le preprocesseur est ajuste exclusivement sur l'ensemble d'entrainement et ensuite applique sans re-ajustement a l'ensemble de test. La division entrainement/test suit un rapport 80/20 avec stratification sur la variable de classe, de facon a preserver la distribution des categories dans les deux sous-ensembles.</w:t>
      </w:r>
    </w:p>
    <w:p>
      <w:pPr>
        <w:pStyle w:val="Heading2"/>
        <w:spacing w:after="120" w:before="280"/>
      </w:pPr>
      <w:r>
        <w:rPr>
          <w:rFonts w:ascii="Arial" w:cs="Arial" w:eastAsia="Arial" w:hAnsi="Arial"/>
          <w:b/>
          <w:bCs/>
          <w:color w:val="2E5F8A"/>
          <w:sz w:val="24"/>
          <w:szCs w:val="24"/>
        </w:rPr>
        <w:t xml:space="preserve">3.2 Modeles de regression</w:t>
      </w:r>
    </w:p>
    <w:p>
      <w:pPr>
        <w:spacing w:after="120" w:before="80" w:line="276"/>
        <w:jc w:val="both"/>
      </w:pPr>
      <w:r>
        <w:rPr>
          <w:rFonts w:ascii="Arial" w:cs="Arial" w:eastAsia="Arial" w:hAnsi="Arial"/>
          <w:sz w:val="22"/>
          <w:szCs w:val="22"/>
        </w:rPr>
        <w:t xml:space="preserve">Quatre algorithmes ont ete selectionnes pour la tache de regression, chacun representant une famille methodologique distincte. Ce choix deliberement heterogene permet d'evaluer la capacite de generalisation de differentes approches sur un meme jeu de donnees et d'identifier les forces et limites de chacune.</w:t>
      </w:r>
    </w:p>
    <w:p>
      <w:pPr>
        <w:pStyle w:val="Heading3"/>
        <w:spacing w:after="80" w:before="200"/>
      </w:pPr>
      <w:r>
        <w:rPr>
          <w:rFonts w:ascii="Arial" w:cs="Arial" w:eastAsia="Arial" w:hAnsi="Arial"/>
          <w:b/>
          <w:bCs/>
          <w:color w:val="333333"/>
          <w:sz w:val="22"/>
          <w:szCs w:val="22"/>
        </w:rPr>
        <w:t xml:space="preserve">3.2.1 Regression lineaire</w:t>
      </w:r>
    </w:p>
    <w:p>
      <w:pPr>
        <w:spacing w:after="120" w:before="80" w:line="276"/>
        <w:jc w:val="both"/>
      </w:pPr>
      <w:r>
        <w:rPr>
          <w:rFonts w:ascii="Arial" w:cs="Arial" w:eastAsia="Arial" w:hAnsi="Arial"/>
          <w:sz w:val="22"/>
          <w:szCs w:val="22"/>
        </w:rPr>
        <w:t xml:space="preserve">La regression lineaire ordinaire (OLS) constitue la reference de base du benchmark. Elle ne fait l'objet d'aucun reglage d'hyperparametres. Son inclusion est justifiee par sa transparence interpretative et par la forte correlation lineaire observee entre le budget television et les ventes. Elle sert egalement de modele de repli pour les predictions en regime d'extrapolation, c'est-a-dire lorsque les entrees de l'utilisateur depassent les bornes observees dans les donnees d'entrainement, situation dans laquelle les modeles a base d'arbres produisent des resultats instables.</w:t>
      </w:r>
    </w:p>
    <w:p>
      <w:pPr>
        <w:pStyle w:val="Heading3"/>
        <w:spacing w:after="80" w:before="200"/>
      </w:pPr>
      <w:r>
        <w:rPr>
          <w:rFonts w:ascii="Arial" w:cs="Arial" w:eastAsia="Arial" w:hAnsi="Arial"/>
          <w:b/>
          <w:bCs/>
          <w:color w:val="333333"/>
          <w:sz w:val="22"/>
          <w:szCs w:val="22"/>
        </w:rPr>
        <w:t xml:space="preserve">3.2.2 Foret aleatoire</w:t>
      </w:r>
    </w:p>
    <w:p>
      <w:pPr>
        <w:spacing w:after="120" w:before="80" w:line="276"/>
        <w:jc w:val="both"/>
      </w:pPr>
      <w:r>
        <w:rPr>
          <w:rFonts w:ascii="Arial" w:cs="Arial" w:eastAsia="Arial" w:hAnsi="Arial"/>
          <w:sz w:val="22"/>
          <w:szCs w:val="22"/>
        </w:rPr>
        <w:t xml:space="preserve">La foret aleatoire agrege les predictions de plusieurs centaines d'arbres de decision entraines sur des sous-echantillons aleatoires de donnees et de variables. Cette double source de variabilite reduit significativement la variance du modele tout en preservant un biais faible. Les hyperparametres sont optimises par RandomizedSearchCV (15 iterations, validation croisee a 5 plis) sur une grille couvrant le nombre d'estimateurs (100 a 500), la profondeur maximale, le nombre minimal d'echantillons pour un noeud interne et le nombre minimal d'echantillons dans une feuille. C'est ce modele qui obtient les meilleures performances sur l'ensemble de test.</w:t>
      </w:r>
    </w:p>
    <w:p>
      <w:pPr>
        <w:pStyle w:val="Heading3"/>
        <w:spacing w:after="80" w:before="200"/>
      </w:pPr>
      <w:r>
        <w:rPr>
          <w:rFonts w:ascii="Arial" w:cs="Arial" w:eastAsia="Arial" w:hAnsi="Arial"/>
          <w:b/>
          <w:bCs/>
          <w:color w:val="333333"/>
          <w:sz w:val="22"/>
          <w:szCs w:val="22"/>
        </w:rPr>
        <w:t xml:space="preserve">3.2.3 Gradient Boosting</w:t>
      </w:r>
    </w:p>
    <w:p>
      <w:pPr>
        <w:spacing w:after="120" w:before="80" w:line="276"/>
        <w:jc w:val="both"/>
      </w:pPr>
      <w:r>
        <w:rPr>
          <w:rFonts w:ascii="Arial" w:cs="Arial" w:eastAsia="Arial" w:hAnsi="Arial"/>
          <w:sz w:val="22"/>
          <w:szCs w:val="22"/>
        </w:rPr>
        <w:t xml:space="preserve">Le gradient boosting construit de maniere sequentielle des arbres correcteurs, chacun visant a reduire le residu d'erreur laisse par les arbres precedents. Nous utilisons la librairie XGBoost lorsqu'elle est disponible dans l'environnement, avec un repli automatique sur l'implementation de scikit-learn. Les hyperparametres tunes incluent le nombre d'estimateurs, le taux d'apprentissage (de 0,01 a 0,2), la profondeur maximale et les taux de sous-echantillonnage des observations et des colonnes.</w:t>
      </w:r>
    </w:p>
    <w:p>
      <w:pPr>
        <w:pStyle w:val="Heading3"/>
        <w:spacing w:after="80" w:before="200"/>
      </w:pPr>
      <w:r>
        <w:rPr>
          <w:rFonts w:ascii="Arial" w:cs="Arial" w:eastAsia="Arial" w:hAnsi="Arial"/>
          <w:b/>
          <w:bCs/>
          <w:color w:val="333333"/>
          <w:sz w:val="22"/>
          <w:szCs w:val="22"/>
        </w:rPr>
        <w:t xml:space="preserve">3.2.4 Reseau de neurones MLP</w:t>
      </w:r>
    </w:p>
    <w:p>
      <w:pPr>
        <w:spacing w:after="120" w:before="80" w:line="276"/>
        <w:jc w:val="both"/>
      </w:pPr>
      <w:r>
        <w:rPr>
          <w:rFonts w:ascii="Arial" w:cs="Arial" w:eastAsia="Arial" w:hAnsi="Arial"/>
          <w:sz w:val="22"/>
          <w:szCs w:val="22"/>
        </w:rPr>
        <w:t xml:space="preserve">Le perceptron multicouche est configure avec trois couches cachees de 128, 64 et 32 neurones respectivement, une activation ReLU et un optimiseur Adam a taux d'apprentissage adaptatif. Un mecanisme d'arret precoce surveille la perte sur un sous-ensemble de validation (10 % des donnees d'entrainement) avec une patience de 15 iterations, afin d'eviter le surapprentissage sans necessiter un reglage manuel du nombre d'epoques.</w:t>
      </w:r>
    </w:p>
    <w:p>
      <w:pPr>
        <w:pStyle w:val="Heading2"/>
        <w:spacing w:after="120" w:before="280"/>
      </w:pPr>
      <w:r>
        <w:rPr>
          <w:rFonts w:ascii="Arial" w:cs="Arial" w:eastAsia="Arial" w:hAnsi="Arial"/>
          <w:b/>
          <w:bCs/>
          <w:color w:val="2E5F8A"/>
          <w:sz w:val="24"/>
          <w:szCs w:val="24"/>
        </w:rPr>
        <w:t xml:space="preserve">3.3 Modeles de classification</w:t>
      </w:r>
    </w:p>
    <w:p>
      <w:pPr>
        <w:spacing w:after="120" w:before="80" w:line="276"/>
        <w:jc w:val="both"/>
      </w:pPr>
      <w:r>
        <w:rPr>
          <w:rFonts w:ascii="Arial" w:cs="Arial" w:eastAsia="Arial" w:hAnsi="Arial"/>
          <w:sz w:val="22"/>
          <w:szCs w:val="22"/>
        </w:rPr>
        <w:t xml:space="preserve">Les quatre memes familles d'algorithmes sont reprises pour la classification triclasse (Low / Medium / High). La regression logistique est configuree avec equilibrage des poids de classe (class_weight='balanced') pour compenser d'eventuels desequilibres residuels. Les forets aleatoires et gradient boosting de classification partagent les memes grilles d'hyperparametres que leurs homologues en regression, en substituant la metrique de scoring par le F1 macro-moyen, qui est moins sensible aux desequilibres de classes que l'exactitude brute.</w:t>
      </w:r>
    </w:p>
    <w:p>
      <w:pPr>
        <w:pStyle w:val="Heading2"/>
        <w:spacing w:after="120" w:before="280"/>
      </w:pPr>
      <w:r>
        <w:rPr>
          <w:rFonts w:ascii="Arial" w:cs="Arial" w:eastAsia="Arial" w:hAnsi="Arial"/>
          <w:b/>
          <w:bCs/>
          <w:color w:val="2E5F8A"/>
          <w:sz w:val="24"/>
          <w:szCs w:val="24"/>
        </w:rPr>
        <w:t xml:space="preserve">3.4 Optimisation des hyperparametres</w:t>
      </w:r>
    </w:p>
    <w:p>
      <w:pPr>
        <w:spacing w:after="120" w:before="80" w:line="276"/>
        <w:jc w:val="both"/>
      </w:pPr>
      <w:r>
        <w:rPr>
          <w:rFonts w:ascii="Arial" w:cs="Arial" w:eastAsia="Arial" w:hAnsi="Arial"/>
          <w:sz w:val="22"/>
          <w:szCs w:val="22"/>
        </w:rPr>
        <w:t xml:space="preserve">L'optimisation est realisee par RandomizedSearchCV plutot que par une recherche exhaustive. Ce choix est motive par le rapport cout-efficacite : une recherche aleatoire de 15 iterations sur un espace de plusieurs centaines de combinaisons permet generalement d'identifier des configurations tres proches de l'optimum en une fraction du temps de calcul d'un grid search complet. La validation croisee a 5 plis garantit que l'evaluation de chaque configuration ne depend pas d'une division particuliere des donnees.</w:t>
      </w:r>
    </w:p>
    <w:p>
      <w:pPr>
        <w:pStyle w:val="Heading2"/>
        <w:spacing w:after="120" w:before="280"/>
      </w:pPr>
      <w:r>
        <w:rPr>
          <w:rFonts w:ascii="Arial" w:cs="Arial" w:eastAsia="Arial" w:hAnsi="Arial"/>
          <w:b/>
          <w:bCs/>
          <w:color w:val="2E5F8A"/>
          <w:sz w:val="24"/>
          <w:szCs w:val="24"/>
        </w:rPr>
        <w:t xml:space="preserve">3.5 Evaluation et metriques</w:t>
      </w:r>
    </w:p>
    <w:p>
      <w:pPr>
        <w:spacing w:after="120" w:before="80" w:line="276"/>
        <w:jc w:val="both"/>
      </w:pPr>
      <w:r>
        <w:rPr>
          <w:rFonts w:ascii="Arial" w:cs="Arial" w:eastAsia="Arial" w:hAnsi="Arial"/>
          <w:sz w:val="22"/>
          <w:szCs w:val="22"/>
        </w:rPr>
        <w:t xml:space="preserve">Les modeles de regression sont evalues sur trois metriques complementaires : l'erreur absolue moyenne (MAE), la racine de l'erreur quadratique moyenne (RMSE) et le coefficient de determination R2. Les modeles de classification sont evalues par l'exactitude (Accuracy), la precision macro, le rappel macro, le F1-score macro et la surface sous la courbe ROC (ROC-AUC) en configuration one-vs-rest.</w:t>
      </w:r>
    </w:p>
    <w:p>
      <w:pPr>
        <w:spacing w:after="120" w:before="80" w:line="276"/>
        <w:jc w:val="both"/>
      </w:pPr>
      <w:r>
        <w:rPr>
          <w:rFonts w:ascii="Arial" w:cs="Arial" w:eastAsia="Arial" w:hAnsi="Arial"/>
          <w:sz w:val="22"/>
          <w:szCs w:val="22"/>
        </w:rPr>
        <w:t xml:space="preserve">En complement des metriques standard, une analyse d'importance par permutation est realisee sur le meilleur modele de regression. Cette methode, independante de l'architecture du modele, mesure la degradation de la performance lorsque les valeurs d'une variable sont melangees aleatoirement (10 repetitions), quantifiant ainsi la contribution reelle de chaque variable a la prediction. Elle constitue un complement utile a l'importance intrinseque issue des arbres, parfois biaisee vers les variables a forte cardinalite.</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4. Resultats et evaluation</w:t>
      </w:r>
    </w:p>
    <w:p>
      <w:pPr>
        <w:pStyle w:val="Heading2"/>
        <w:spacing w:after="120" w:before="280"/>
      </w:pPr>
      <w:r>
        <w:rPr>
          <w:rFonts w:ascii="Arial" w:cs="Arial" w:eastAsia="Arial" w:hAnsi="Arial"/>
          <w:b/>
          <w:bCs/>
          <w:color w:val="2E5F8A"/>
          <w:sz w:val="24"/>
          <w:szCs w:val="24"/>
        </w:rPr>
        <w:t xml:space="preserve">4.1 Performances en regression</w:t>
      </w:r>
    </w:p>
    <w:p>
      <w:pPr>
        <w:spacing w:after="120" w:before="80" w:line="276"/>
        <w:jc w:val="both"/>
      </w:pPr>
      <w:r>
        <w:rPr>
          <w:rFonts w:ascii="Arial" w:cs="Arial" w:eastAsia="Arial" w:hAnsi="Arial"/>
          <w:sz w:val="22"/>
          <w:szCs w:val="22"/>
        </w:rPr>
        <w:t xml:space="preserve">Les quatre modeles de regression ont ete evalues sur l'ensemble de test, qui represente 20 % des observations (soit environ 914 campagnes). Les hyperparametres des forets aleatoires et du gradient boosting ont ete selectionnes par RandomizedSearchCV sur l'ensemble d'entrainement. Les resultats sont synthetises dans le tableau ci-dessous.</w:t>
      </w:r>
    </w:p>
    <w:p>
      <w:pPr>
        <w:spacing w:after="80" w:before="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1588"/>
        <w:gridCol w:w="1588"/>
        <w:gridCol w:w="1588"/>
        <w:gridCol w:w="1588"/>
      </w:tblGrid>
      <w:tr>
        <w:trPr>
          <w:tblHeader/>
        </w:trPr>
        <w:tc>
          <w:tcPr>
            <w:tcW w:type="dxa" w:w="272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Modele</w:t>
            </w:r>
          </w:p>
        </w:tc>
        <w:tc>
          <w:tcPr>
            <w:tcW w:type="dxa" w:w="158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MAE</w:t>
            </w:r>
          </w:p>
        </w:tc>
        <w:tc>
          <w:tcPr>
            <w:tcW w:type="dxa" w:w="158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RMSE</w:t>
            </w:r>
          </w:p>
        </w:tc>
        <w:tc>
          <w:tcPr>
            <w:tcW w:type="dxa" w:w="158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R2 (test)</w:t>
            </w:r>
          </w:p>
        </w:tc>
        <w:tc>
          <w:tcPr>
            <w:tcW w:type="dxa" w:w="158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CV R2 moyen</w:t>
            </w:r>
          </w:p>
        </w:tc>
      </w:tr>
      <w:tr>
        <w:tc>
          <w:tcPr>
            <w:tcW w:type="dxa" w:w="272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Foret aleatoire</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~1,2</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~2,1</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0,9958</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0,9950</w:t>
            </w:r>
          </w:p>
        </w:tc>
      </w:tr>
      <w:tr>
        <w:tc>
          <w:tcPr>
            <w:tcW w:type="dxa" w:w="2722"/>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Gradient Boosting</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~1,5</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~2,6</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0,9941</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0,9930</w:t>
            </w:r>
          </w:p>
        </w:tc>
      </w:tr>
      <w:tr>
        <w:tc>
          <w:tcPr>
            <w:tcW w:type="dxa" w:w="272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MLP</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~2,8</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~4,1</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0,9870</w:t>
            </w:r>
          </w:p>
        </w:tc>
        <w:tc>
          <w:tcPr>
            <w:tcW w:type="dxa" w:w="1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0,9840</w:t>
            </w:r>
          </w:p>
        </w:tc>
      </w:tr>
      <w:tr>
        <w:tc>
          <w:tcPr>
            <w:tcW w:type="dxa" w:w="2722"/>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Regression lineaire</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~5,3</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~7,2</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0,9610</w:t>
            </w:r>
          </w:p>
        </w:tc>
        <w:tc>
          <w:tcPr>
            <w:tcW w:type="dxa" w:w="158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0,9590</w:t>
            </w:r>
          </w:p>
        </w:tc>
      </w:tr>
    </w:tbl>
    <w:p>
      <w:pPr>
        <w:spacing w:after="80" w:before="0"/>
      </w:pPr>
      <w:r>
        <w:t xml:space="preserve"/>
      </w:r>
    </w:p>
    <w:p>
      <w:pPr>
        <w:spacing w:after="120" w:before="80" w:line="276"/>
        <w:jc w:val="both"/>
      </w:pPr>
      <w:r>
        <w:rPr>
          <w:rFonts w:ascii="Arial" w:cs="Arial" w:eastAsia="Arial" w:hAnsi="Arial"/>
          <w:sz w:val="22"/>
          <w:szCs w:val="22"/>
        </w:rPr>
        <w:t xml:space="preserve">La foret aleatoire atteint un R2 de 0,9958 sur l'ensemble de test, ce qui signifie qu'elle explique plus de 99,5 % de la variance des ventes a partir des seules variables de budget et de tier d'influenceur. Ce resultat exceptionnel s'explique en partie par la structure reguliere du jeu de donnees. Il convient de rester prudent quant a la generalisabilite de ces performances sur des donnees issues d'un contexte marche different, ou les relations entre variables seraient plus bruitees.</w:t>
      </w:r>
    </w:p>
    <w:p>
      <w:pPr>
        <w:spacing w:after="120" w:before="80" w:line="276"/>
        <w:jc w:val="both"/>
      </w:pPr>
      <w:r>
        <w:rPr>
          <w:rFonts w:ascii="Arial" w:cs="Arial" w:eastAsia="Arial" w:hAnsi="Arial"/>
          <w:sz w:val="22"/>
          <w:szCs w:val="22"/>
        </w:rPr>
        <w:t xml:space="preserve">La regression lineaire, bien que moins performante en valeur absolue, conserve un R2 superieur a 0,96 et reste pertinente comme reference interpretative et comme modele de repli en extrapolation. Le MLP offre des performances intermediaires : ses capacites de modele non-lineaire lui permettent de surpasser la regression lineaire, mais il ne peut concurrencer les ensembles d'arbres sur ce type de donnees tabulaires.</w:t>
      </w:r>
    </w:p>
    <w:p>
      <w:pPr>
        <w:pStyle w:val="Heading2"/>
        <w:spacing w:after="120" w:before="280"/>
      </w:pPr>
      <w:r>
        <w:rPr>
          <w:rFonts w:ascii="Arial" w:cs="Arial" w:eastAsia="Arial" w:hAnsi="Arial"/>
          <w:b/>
          <w:bCs/>
          <w:color w:val="2E5F8A"/>
          <w:sz w:val="24"/>
          <w:szCs w:val="24"/>
        </w:rPr>
        <w:t xml:space="preserve">4.2 Performances en classification</w:t>
      </w:r>
    </w:p>
    <w:p>
      <w:pPr>
        <w:spacing w:after="120" w:before="80" w:line="276"/>
        <w:jc w:val="both"/>
      </w:pPr>
      <w:r>
        <w:rPr>
          <w:rFonts w:ascii="Arial" w:cs="Arial" w:eastAsia="Arial" w:hAnsi="Arial"/>
          <w:sz w:val="22"/>
          <w:szCs w:val="22"/>
        </w:rPr>
        <w:t xml:space="preserve">Pour la tache de classification triclasse, les forets aleatoires et le gradient boosting dominent egalement, avec des F1-scores macro superieurs a 0,99. La regression logistique realise une classification correcte dans environ 96 % des cas, ce qui confirme que la separation entre les classes de performance est en grande partie lineairement structuree dans l'espace des caracteristiques transformees.</w:t>
      </w:r>
    </w:p>
    <w:p>
      <w:pPr>
        <w:spacing w:after="80" w:before="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1361"/>
        <w:gridCol w:w="1361"/>
        <w:gridCol w:w="1361"/>
        <w:gridCol w:w="1361"/>
        <w:gridCol w:w="1361"/>
      </w:tblGrid>
      <w:tr>
        <w:trPr>
          <w:tblHeader/>
        </w:trPr>
        <w:tc>
          <w:tcPr>
            <w:tcW w:type="dxa" w:w="226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Modele</w:t>
            </w:r>
          </w:p>
        </w:tc>
        <w:tc>
          <w:tcPr>
            <w:tcW w:type="dxa" w:w="136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Accuracy</w:t>
            </w:r>
          </w:p>
        </w:tc>
        <w:tc>
          <w:tcPr>
            <w:tcW w:type="dxa" w:w="136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Precision</w:t>
            </w:r>
          </w:p>
        </w:tc>
        <w:tc>
          <w:tcPr>
            <w:tcW w:type="dxa" w:w="136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Rappel</w:t>
            </w:r>
          </w:p>
        </w:tc>
        <w:tc>
          <w:tcPr>
            <w:tcW w:type="dxa" w:w="136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F1-macro</w:t>
            </w:r>
          </w:p>
        </w:tc>
        <w:tc>
          <w:tcPr>
            <w:tcW w:type="dxa" w:w="136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ROC-AUC</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Foret aleatoire</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0,9970</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0,9968</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0,9972</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0,9970</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0,9998</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Gradient Boosting</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0,9950</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0,9948</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0,9952</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0,9950</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0,9997</w:t>
            </w:r>
          </w:p>
        </w:tc>
      </w:tr>
      <w:tr>
        <w:tc>
          <w:tcPr>
            <w:tcW w:type="dxa" w:w="22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MLP</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0,9880</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0,9875</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0,9882</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0,9878</w:t>
            </w:r>
          </w:p>
        </w:tc>
        <w:tc>
          <w:tcPr>
            <w:tcW w:type="dxa" w:w="136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0,9990</w:t>
            </w:r>
          </w:p>
        </w:tc>
      </w:tr>
      <w:tr>
        <w:tc>
          <w:tcPr>
            <w:tcW w:type="dxa" w:w="2268"/>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Reg. logistique</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0,9610</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0,9605</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0,9612</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0,9607</w:t>
            </w:r>
          </w:p>
        </w:tc>
        <w:tc>
          <w:tcPr>
            <w:tcW w:type="dxa" w:w="1361"/>
            <w:tcBorders>
              <w:top w:val="single" w:color="CCCCCC" w:sz="1"/>
              <w:left w:val="single" w:color="CCCCCC" w:sz="1"/>
              <w:bottom w:val="single" w:color="CCCCCC" w:sz="1"/>
              <w:right w:val="single" w:color="CCCCCC" w:sz="1"/>
            </w:tcBorders>
            <w:shd w:fill="EBF0F8" w:val="clear"/>
            <w:tcMar>
              <w:top w:type="dxa" w:w="80"/>
              <w:left w:type="dxa" w:w="120"/>
              <w:bottom w:type="dxa" w:w="80"/>
              <w:right w:type="dxa" w:w="120"/>
            </w:tcMar>
            <w:vAlign w:val="center"/>
          </w:tcPr>
          <w:p>
            <w:pPr>
              <w:jc w:val="left"/>
            </w:pPr>
            <w:r>
              <w:rPr>
                <w:rFonts w:ascii="Arial" w:cs="Arial" w:eastAsia="Arial" w:hAnsi="Arial"/>
                <w:sz w:val="20"/>
                <w:szCs w:val="20"/>
              </w:rPr>
              <w:t xml:space="preserve">0,9950</w:t>
            </w:r>
          </w:p>
        </w:tc>
      </w:tr>
    </w:tbl>
    <w:p>
      <w:pPr>
        <w:spacing w:after="80" w:before="0"/>
      </w:pPr>
      <w:r>
        <w:t xml:space="preserve"/>
      </w:r>
    </w:p>
    <w:p>
      <w:pPr>
        <w:pStyle w:val="Heading2"/>
        <w:spacing w:after="120" w:before="280"/>
      </w:pPr>
      <w:r>
        <w:rPr>
          <w:rFonts w:ascii="Arial" w:cs="Arial" w:eastAsia="Arial" w:hAnsi="Arial"/>
          <w:b/>
          <w:bCs/>
          <w:color w:val="2E5F8A"/>
          <w:sz w:val="24"/>
          <w:szCs w:val="24"/>
        </w:rPr>
        <w:t xml:space="preserve">4.3 Importance des variables</w:t>
      </w:r>
    </w:p>
    <w:p>
      <w:pPr>
        <w:spacing w:after="120" w:before="80" w:line="276"/>
        <w:jc w:val="both"/>
      </w:pPr>
      <w:r>
        <w:rPr>
          <w:rFonts w:ascii="Arial" w:cs="Arial" w:eastAsia="Arial" w:hAnsi="Arial"/>
          <w:sz w:val="22"/>
          <w:szCs w:val="22"/>
        </w:rPr>
        <w:t xml:space="preserve">L'analyse de l'importance intrinseque issue de la foret aleatoire place le budget television comme variable la plus influente sur les ventes, ce qui est coherent avec l'analyse de correlation conduite lors de l'exploration. La radio occupe la deuxieme position, suivie des reseaux sociaux et des modalites d'influenceur.</w:t>
      </w:r>
    </w:p>
    <w:p>
      <w:pPr>
        <w:spacing w:after="120" w:before="80" w:line="276"/>
        <w:jc w:val="both"/>
      </w:pPr>
      <w:r>
        <w:rPr>
          <w:rFonts w:ascii="Arial" w:cs="Arial" w:eastAsia="Arial" w:hAnsi="Arial"/>
          <w:sz w:val="22"/>
          <w:szCs w:val="22"/>
        </w:rPr>
        <w:t xml:space="preserve">L'importance par permutation, calculee sur l'ensemble de test avec 10 repetitions, confirme ce classement tout en fournissant une estimation de l'incertitude associee a chaque mesure. Le budget television est de loin la variable dont la permutation degraderait le plus les performances du modele. La convergence entre les deux methodes d'interpretation renforce la robustesse des conclusions.</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5. Architecture logicielle</w:t>
      </w:r>
    </w:p>
    <w:p>
      <w:pPr>
        <w:pStyle w:val="Heading2"/>
        <w:spacing w:after="120" w:before="280"/>
      </w:pPr>
      <w:r>
        <w:rPr>
          <w:rFonts w:ascii="Arial" w:cs="Arial" w:eastAsia="Arial" w:hAnsi="Arial"/>
          <w:b/>
          <w:bCs/>
          <w:color w:val="2E5F8A"/>
          <w:sz w:val="24"/>
          <w:szCs w:val="24"/>
        </w:rPr>
        <w:t xml:space="preserve">5.1 Vue d'ensemble</w:t>
      </w:r>
    </w:p>
    <w:p>
      <w:pPr>
        <w:spacing w:after="120" w:before="80" w:line="276"/>
        <w:jc w:val="both"/>
      </w:pPr>
      <w:r>
        <w:rPr>
          <w:rFonts w:ascii="Arial" w:cs="Arial" w:eastAsia="Arial" w:hAnsi="Arial"/>
          <w:sz w:val="22"/>
          <w:szCs w:val="22"/>
        </w:rPr>
        <w:t xml:space="preserve">Le systeme repose sur deux pipelines paralleles mais complementaires. Le premier est destine a la mise en production via des API REST et un tableau de bord web (pipeline FastAPI / Next.js). Le second offre une interface d'exploration interactive reservee aux data scientists et aux utilisateurs avances (pipeline Streamlit). Les deux pipelines partagent le meme module de pretraitement centralise, garantissant une coherence totale des transformations appliquees lors de l'inference.</w:t>
      </w:r>
    </w:p>
    <w:p>
      <w:pPr>
        <w:spacing w:after="120" w:before="80" w:line="276"/>
        <w:jc w:val="both"/>
      </w:pPr>
      <w:r>
        <w:rPr>
          <w:rFonts w:ascii="Arial" w:cs="Arial" w:eastAsia="Arial" w:hAnsi="Arial"/>
          <w:sz w:val="22"/>
          <w:szCs w:val="22"/>
        </w:rPr>
        <w:t xml:space="preserve">L'ensemble du flux de donnees peut se resumer en cinq etapes successives : chargement du fichier CSV source, pretraitement par le ColumnTransformer, entrainement des modeles via src/train.py (pipeline FastAPI) ou src/models.py (pipeline Streamlit), serialisation des artefacts dans le repertoire models/, et enfin exposition via l'API ou l'interface graphique.</w:t>
      </w:r>
    </w:p>
    <w:p>
      <w:pPr>
        <w:pStyle w:val="Heading2"/>
        <w:spacing w:after="120" w:before="280"/>
      </w:pPr>
      <w:r>
        <w:rPr>
          <w:rFonts w:ascii="Arial" w:cs="Arial" w:eastAsia="Arial" w:hAnsi="Arial"/>
          <w:b/>
          <w:bCs/>
          <w:color w:val="2E5F8A"/>
          <w:sz w:val="24"/>
          <w:szCs w:val="24"/>
        </w:rPr>
        <w:t xml:space="preserve">5.2 Backend FastAPI</w:t>
      </w:r>
    </w:p>
    <w:p>
      <w:pPr>
        <w:spacing w:after="120" w:before="80" w:line="276"/>
        <w:jc w:val="both"/>
      </w:pPr>
      <w:r>
        <w:rPr>
          <w:rFonts w:ascii="Arial" w:cs="Arial" w:eastAsia="Arial" w:hAnsi="Arial"/>
          <w:sz w:val="22"/>
          <w:szCs w:val="22"/>
        </w:rPr>
        <w:t xml:space="preserve">Le module api/main.py constitue le coeur du service de prediction. Au demarrage de l'application, un gestionnaire de cycle de vie charge en memoire l'ensemble des modeles serialises, les resultats de validation croisee et la division entrainement/test utilisee lors de l'apprentissage. Les metriques et les importances de variables sont pre-calculees et mises en cache afin de minimiser la latence des requetes ulterieures.</w:t>
      </w:r>
    </w:p>
    <w:p>
      <w:pPr>
        <w:spacing w:after="120" w:before="80" w:line="276"/>
        <w:jc w:val="both"/>
      </w:pPr>
      <w:r>
        <w:rPr>
          <w:rFonts w:ascii="Arial" w:cs="Arial" w:eastAsia="Arial" w:hAnsi="Arial"/>
          <w:sz w:val="22"/>
          <w:szCs w:val="22"/>
        </w:rPr>
        <w:t xml:space="preserve">L'API expose six points de terminaison : GET /health pour la verification de l'etat du service, GET /stats pour les statistiques descriptives du jeu de donnees, GET /metrics pour les performances des modeles sur l'ensemble de test, GET /feature-importance pour l'importance des variables du meilleur modele, POST /predict pour la prediction par le meilleur modele disponible, et POST /predict/all pour les predictions de tous les modeles charges simultanement, utilise par le simulateur budgetaire du tableau de bord.</w:t>
      </w:r>
    </w:p>
    <w:p>
      <w:pPr>
        <w:spacing w:after="120" w:before="80" w:line="276"/>
        <w:jc w:val="both"/>
      </w:pPr>
      <w:r>
        <w:rPr>
          <w:rFonts w:ascii="Arial" w:cs="Arial" w:eastAsia="Arial" w:hAnsi="Arial"/>
          <w:sz w:val="22"/>
          <w:szCs w:val="22"/>
        </w:rPr>
        <w:t xml:space="preserve">La validation des entrees est assuree par des schemas Pydantic avec contraintes de domaine (bornes numeriques, valeurs admissibles pour l'influenceur). Le middleware CORS est configure pour autoriser les requetes en provenance du tableau de bord Next.js, que ce soit en developpement local ou dans un environnement Docker.</w:t>
      </w:r>
    </w:p>
    <w:p>
      <w:pPr>
        <w:pStyle w:val="Heading2"/>
        <w:spacing w:after="120" w:before="280"/>
      </w:pPr>
      <w:r>
        <w:rPr>
          <w:rFonts w:ascii="Arial" w:cs="Arial" w:eastAsia="Arial" w:hAnsi="Arial"/>
          <w:b/>
          <w:bCs/>
          <w:color w:val="2E5F8A"/>
          <w:sz w:val="24"/>
          <w:szCs w:val="24"/>
        </w:rPr>
        <w:t xml:space="preserve">5.3 Tableau de bord Next.js</w:t>
      </w:r>
    </w:p>
    <w:p>
      <w:pPr>
        <w:spacing w:after="120" w:before="80" w:line="276"/>
        <w:jc w:val="both"/>
      </w:pPr>
      <w:r>
        <w:rPr>
          <w:rFonts w:ascii="Arial" w:cs="Arial" w:eastAsia="Arial" w:hAnsi="Arial"/>
          <w:sz w:val="22"/>
          <w:szCs w:val="22"/>
        </w:rPr>
        <w:t xml:space="preserve">L'interface utilisateur est construite avec Next.js 14 (App Router), TypeScript, Tailwind CSS et la librairie de visualisation Recharts. Elle communique exclusivement avec l'API FastAPI via des appels fetch cotes client, sans logique metier embarquee dans le frontend. Le fichier dashboard-next/lib/api.ts centralise l'ensemble des appels HTTP, facilitant la maintenance et l'evolution independante du client et du serveur.</w:t>
      </w:r>
    </w:p>
    <w:p>
      <w:pPr>
        <w:spacing w:after="120" w:before="80" w:line="276"/>
        <w:jc w:val="both"/>
      </w:pPr>
      <w:r>
        <w:rPr>
          <w:rFonts w:ascii="Arial" w:cs="Arial" w:eastAsia="Arial" w:hAnsi="Arial"/>
          <w:sz w:val="22"/>
          <w:szCs w:val="22"/>
        </w:rPr>
        <w:t xml:space="preserve">Le simulateur budgetaire permet a l'utilisateur d'ajuster interactivement les curseurs de budget et d'obtenir en temps reel les predictions de chacun des quatre modeles, favorisant une comparaison directe. Un avertissement est affiche automatiquement lorsque les valeurs saisies depassent les bornes d'entrainement, signalant un regime d'extrapolation pour lequel les resultats des modeles a base d'arbres doivent etre interpretes avec precaution.</w:t>
      </w:r>
    </w:p>
    <w:p>
      <w:pPr>
        <w:pStyle w:val="Heading2"/>
        <w:spacing w:after="120" w:before="280"/>
      </w:pPr>
      <w:r>
        <w:rPr>
          <w:rFonts w:ascii="Arial" w:cs="Arial" w:eastAsia="Arial" w:hAnsi="Arial"/>
          <w:b/>
          <w:bCs/>
          <w:color w:val="2E5F8A"/>
          <w:sz w:val="24"/>
          <w:szCs w:val="24"/>
        </w:rPr>
        <w:t xml:space="preserve">5.4 Interface Streamlit</w:t>
      </w:r>
    </w:p>
    <w:p>
      <w:pPr>
        <w:spacing w:after="120" w:before="80" w:line="276"/>
        <w:jc w:val="both"/>
      </w:pPr>
      <w:r>
        <w:rPr>
          <w:rFonts w:ascii="Arial" w:cs="Arial" w:eastAsia="Arial" w:hAnsi="Arial"/>
          <w:sz w:val="22"/>
          <w:szCs w:val="22"/>
        </w:rPr>
        <w:t xml:space="preserve">L'interface Streamlit est organisee en six onglets : apercu des donnees, comparaison des modeles, importance des variables, prediction, simulateur budgetaire et planificateur de cible. Ce dernier onglet propose deux fonctionnalites originales : une optimisation inverse - etant donne une cible de ventes, determiner l'allocation budgetaire optimale via le solver SLSQP de scipy.optimize - et une analyse probabiliste exploitant la distribution des predictions au niveau de chaque arbre de la foret aleatoire pour estimer la probabilite d'atteindre ou de depasser un objectif commercial.</w:t>
      </w:r>
    </w:p>
    <w:p>
      <w:pPr>
        <w:pStyle w:val="Heading2"/>
        <w:spacing w:after="120" w:before="280"/>
      </w:pPr>
      <w:r>
        <w:rPr>
          <w:rFonts w:ascii="Arial" w:cs="Arial" w:eastAsia="Arial" w:hAnsi="Arial"/>
          <w:b/>
          <w:bCs/>
          <w:color w:val="2E5F8A"/>
          <w:sz w:val="24"/>
          <w:szCs w:val="24"/>
        </w:rPr>
        <w:t xml:space="preserve">5.5 Deploiement</w:t>
      </w:r>
    </w:p>
    <w:p>
      <w:pPr>
        <w:spacing w:after="120" w:before="80" w:line="276"/>
        <w:jc w:val="both"/>
      </w:pPr>
      <w:r>
        <w:rPr>
          <w:rFonts w:ascii="Arial" w:cs="Arial" w:eastAsia="Arial" w:hAnsi="Arial"/>
          <w:sz w:val="22"/>
          <w:szCs w:val="22"/>
        </w:rPr>
        <w:t xml:space="preserve">Le deploiement est orchestre par Docker Compose, qui demarre deux services : l'API FastAPI exposee sur le port 8000 et le tableau de bord Next.js sur le port 3000. L'image Docker de l'API integre une etape de re-entrainement des modeles lors de la construction (instruction RUN python src/train.py dans le Dockerfile), garantissant que les artefacts de modeles sont toujours coherents avec le code et les donnees embarques dans l'image. Ce choix architectural garantit la reproducibilite du systeme a chaque reconstruction.</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6. Conclusion et perspectives</w:t>
      </w:r>
    </w:p>
    <w:p>
      <w:pPr>
        <w:pStyle w:val="Heading2"/>
        <w:spacing w:after="120" w:before="280"/>
      </w:pPr>
      <w:r>
        <w:rPr>
          <w:rFonts w:ascii="Arial" w:cs="Arial" w:eastAsia="Arial" w:hAnsi="Arial"/>
          <w:b/>
          <w:bCs/>
          <w:color w:val="2E5F8A"/>
          <w:sz w:val="24"/>
          <w:szCs w:val="24"/>
        </w:rPr>
        <w:t xml:space="preserve">6.1 Bilan</w:t>
      </w:r>
    </w:p>
    <w:p>
      <w:pPr>
        <w:spacing w:after="120" w:before="80" w:line="276"/>
        <w:jc w:val="both"/>
      </w:pPr>
      <w:r>
        <w:rPr>
          <w:rFonts w:ascii="Arial" w:cs="Arial" w:eastAsia="Arial" w:hAnsi="Arial"/>
          <w:sz w:val="22"/>
          <w:szCs w:val="22"/>
        </w:rPr>
        <w:t xml:space="preserve">Ce projet a permis de construire, d'evaluer et de deployer un systeme complet de prediction de ventes marketing. La foret aleatoire se distingue nettement comme meilleur modele, avec un R2 de 0,9958 en regression et un F1-macro de 0,9970 en classification. Ces performances, verifiees sur un ensemble de test independant et confirmees par validation croisee a 5 plis, temoignent d'une bonne capacite de generalisation dans les limites du jeu de donnees disponible.</w:t>
      </w:r>
    </w:p>
    <w:p>
      <w:pPr>
        <w:spacing w:after="120" w:before="80" w:line="276"/>
        <w:jc w:val="both"/>
      </w:pPr>
      <w:r>
        <w:rPr>
          <w:rFonts w:ascii="Arial" w:cs="Arial" w:eastAsia="Arial" w:hAnsi="Arial"/>
          <w:sz w:val="22"/>
          <w:szCs w:val="22"/>
        </w:rPr>
        <w:t xml:space="preserve">Sur le plan technique, le projet repond a l'ensemble des exigences definies dans le cahier des charges RNCP40875 : pipeline de pretraitement sans fuite de donnees, optimisation des hyperparametres par recherche aleatoire, evaluation par des metriques multiples incluant precision, rappel, F1 et ROC-AUC, analyse d'importance par permutation, et mise a disposition d'une API et d'une interface graphique operationnelles. La centralisation du pretraitement dans un module partage entre les deux pipelines constitue un choix architectural qui simplifie la maintenance et limite les risques de divergence entre l'entrainement et la mise en production.</w:t>
      </w:r>
    </w:p>
    <w:p>
      <w:pPr>
        <w:pStyle w:val="Heading2"/>
        <w:spacing w:after="120" w:before="280"/>
      </w:pPr>
      <w:r>
        <w:rPr>
          <w:rFonts w:ascii="Arial" w:cs="Arial" w:eastAsia="Arial" w:hAnsi="Arial"/>
          <w:b/>
          <w:bCs/>
          <w:color w:val="2E5F8A"/>
          <w:sz w:val="24"/>
          <w:szCs w:val="24"/>
        </w:rPr>
        <w:t xml:space="preserve">6.2 Limites</w:t>
      </w:r>
    </w:p>
    <w:p>
      <w:pPr>
        <w:spacing w:after="120" w:before="80" w:line="276"/>
        <w:jc w:val="both"/>
      </w:pPr>
      <w:r>
        <w:rPr>
          <w:rFonts w:ascii="Arial" w:cs="Arial" w:eastAsia="Arial" w:hAnsi="Arial"/>
          <w:sz w:val="22"/>
          <w:szCs w:val="22"/>
        </w:rPr>
        <w:t xml:space="preserve">Plusieurs limites meritent d'etre signalees. Le jeu de donnees, bien que de taille raisonnable avec ses 4 572 observations, est de nature synthetique, ce qui peut conduire a surestimer les performances par rapport a un contexte reel ou les relations entre variables seraient plus bruitees et potentiellement non-stationnaires dans le temps. Par ailleurs, les modeles a base d'arbres sont, par construction, incapables d'extrapoler au-dela des valeurs observees pendant l'entrainement : le mecanisme de repli sur la regression lineaire mis en place dans l'interface Streamlit est une solution pragmatique mais non exhaustive a cette limitation.</w:t>
      </w:r>
    </w:p>
    <w:p>
      <w:pPr>
        <w:spacing w:after="120" w:before="80" w:line="276"/>
        <w:jc w:val="both"/>
      </w:pPr>
      <w:r>
        <w:rPr>
          <w:rFonts w:ascii="Arial" w:cs="Arial" w:eastAsia="Arial" w:hAnsi="Arial"/>
          <w:sz w:val="22"/>
          <w:szCs w:val="22"/>
        </w:rPr>
        <w:t xml:space="preserve">La gestion du desequilibre de classes n'a pas necessite de traitement specifique dans ce cas precis, grace au decoupage par terciles qui garantit une distribution approximativement equilibree. Dans un cadre reel avec des classes naturellement desequilibrees, ce point meriterait une attention particuliere, notamment par l'utilisation de techniques de sur-echantillonnage synthetique ou de ponderation adaptee.</w:t>
      </w:r>
    </w:p>
    <w:p>
      <w:pPr>
        <w:pStyle w:val="Heading2"/>
        <w:spacing w:after="120" w:before="280"/>
      </w:pPr>
      <w:r>
        <w:rPr>
          <w:rFonts w:ascii="Arial" w:cs="Arial" w:eastAsia="Arial" w:hAnsi="Arial"/>
          <w:b/>
          <w:bCs/>
          <w:color w:val="2E5F8A"/>
          <w:sz w:val="24"/>
          <w:szCs w:val="24"/>
        </w:rPr>
        <w:t xml:space="preserve">6.3 Perspectives</w:t>
      </w:r>
    </w:p>
    <w:p>
      <w:pPr>
        <w:spacing w:after="120" w:before="80" w:line="276"/>
        <w:jc w:val="both"/>
      </w:pPr>
      <w:r>
        <w:rPr>
          <w:rFonts w:ascii="Arial" w:cs="Arial" w:eastAsia="Arial" w:hAnsi="Arial"/>
          <w:sz w:val="22"/>
          <w:szCs w:val="22"/>
        </w:rPr>
        <w:t xml:space="preserve">Plusieurs axes d'amelioration peuvent etre envisages pour une version future du systeme. L'integration de donnees complementaires - saisonnalite, indicateurs economiques, donnees concurrentielles - permettrait d'enrichir le signal predictif au-dela des seuls budgets par canal. L'adoption d'une approche de stacking ou d'empilement de modeles (meta-learning) pourrait encore ameliorer les performances en exploitant la complementarite entre les algorithmes, notamment sur les cas limites ou aucun modele individuel n'excelle.</w:t>
      </w:r>
    </w:p>
    <w:p>
      <w:pPr>
        <w:spacing w:after="120" w:before="80" w:line="276"/>
        <w:jc w:val="both"/>
      </w:pPr>
      <w:r>
        <w:rPr>
          <w:rFonts w:ascii="Arial" w:cs="Arial" w:eastAsia="Arial" w:hAnsi="Arial"/>
          <w:sz w:val="22"/>
          <w:szCs w:val="22"/>
        </w:rPr>
        <w:t xml:space="preserve">Sur le plan operationnel, la mise en place d'un mecanisme de surveillance des derives de distribution (data drift) et d'un reglage continu des modeles au fil des nouvelles campagnes constituerait une avancee significative vers un systeme de production robuste dans la duree. La piste de l'optimisation inverse, deja ebauchee dans le planificateur de cible Streamlit, ouvre des perspectives interessantes pour la prescription budgetaire automatisee, en combinant cet outil avec des contraintes metier explicites telles que des plafonds sectoriels ou des regles de coherence des plans medias.</w:t>
      </w:r>
    </w:p>
    <w:p>
      <w:pPr>
        <w:spacing w:after="80" w:before="0"/>
      </w:pPr>
      <w:r>
        <w:t xml:space="preserve"/>
      </w:r>
    </w:p>
    <w:p>
      <w:r>
        <w:br w:type="page"/>
      </w:r>
    </w:p>
    <w:p>
      <w:pPr>
        <w:pStyle w:val="Heading1"/>
        <w:pBdr>
          <w:bottom w:val="single" w:color="2E5F8A" w:sz="6" w:space="6"/>
        </w:pBdr>
        <w:spacing w:after="160" w:before="360"/>
      </w:pPr>
      <w:r>
        <w:rPr>
          <w:rFonts w:ascii="Arial" w:cs="Arial" w:eastAsia="Arial" w:hAnsi="Arial"/>
          <w:b/>
          <w:bCs/>
          <w:color w:val="1F3864"/>
          <w:sz w:val="28"/>
          <w:szCs w:val="28"/>
        </w:rPr>
        <w:t xml:space="preserve">References</w:t>
      </w:r>
    </w:p>
    <w:p>
      <w:pPr>
        <w:spacing w:after="120" w:before="80" w:line="276"/>
        <w:jc w:val="both"/>
      </w:pPr>
      <w:r>
        <w:rPr>
          <w:rFonts w:ascii="Arial" w:cs="Arial" w:eastAsia="Arial" w:hAnsi="Arial"/>
          <w:b/>
          <w:bCs/>
          <w:sz w:val="22"/>
          <w:szCs w:val="22"/>
        </w:rPr>
        <w:t xml:space="preserve">Pedregosa, F. et al. (2011). </w:t>
      </w:r>
      <w:r>
        <w:rPr>
          <w:rFonts w:ascii="Arial" w:cs="Arial" w:eastAsia="Arial" w:hAnsi="Arial"/>
          <w:i/>
          <w:iCs/>
          <w:sz w:val="22"/>
          <w:szCs w:val="22"/>
        </w:rPr>
        <w:t xml:space="preserve">Scikit-learn: Machine Learning in Python. </w:t>
      </w:r>
      <w:r>
        <w:rPr>
          <w:rFonts w:ascii="Arial" w:cs="Arial" w:eastAsia="Arial" w:hAnsi="Arial"/>
          <w:sz w:val="22"/>
          <w:szCs w:val="22"/>
        </w:rPr>
        <w:t xml:space="preserve">Journal of Machine Learning Research, 12, 2825-2830.</w:t>
      </w:r>
    </w:p>
    <w:p>
      <w:pPr>
        <w:spacing w:after="80" w:before="0"/>
      </w:pPr>
      <w:r>
        <w:t xml:space="preserve"/>
      </w:r>
    </w:p>
    <w:p>
      <w:pPr>
        <w:spacing w:after="120" w:before="80" w:line="276"/>
        <w:jc w:val="both"/>
      </w:pPr>
      <w:r>
        <w:rPr>
          <w:rFonts w:ascii="Arial" w:cs="Arial" w:eastAsia="Arial" w:hAnsi="Arial"/>
          <w:b/>
          <w:bCs/>
          <w:sz w:val="22"/>
          <w:szCs w:val="22"/>
        </w:rPr>
        <w:t xml:space="preserve">Chen, T. &amp; Guestrin, C. (2016). </w:t>
      </w:r>
      <w:r>
        <w:rPr>
          <w:rFonts w:ascii="Arial" w:cs="Arial" w:eastAsia="Arial" w:hAnsi="Arial"/>
          <w:i/>
          <w:iCs/>
          <w:sz w:val="22"/>
          <w:szCs w:val="22"/>
        </w:rPr>
        <w:t xml:space="preserve">XGBoost: A Scalable Tree Boosting System. </w:t>
      </w:r>
      <w:r>
        <w:rPr>
          <w:rFonts w:ascii="Arial" w:cs="Arial" w:eastAsia="Arial" w:hAnsi="Arial"/>
          <w:sz w:val="22"/>
          <w:szCs w:val="22"/>
        </w:rPr>
        <w:t xml:space="preserve">Proceedings of the 22nd ACM SIGKDD Conference on Knowledge Discovery and Data Mining, 785-794.</w:t>
      </w:r>
    </w:p>
    <w:p>
      <w:pPr>
        <w:spacing w:after="80" w:before="0"/>
      </w:pPr>
      <w:r>
        <w:t xml:space="preserve"/>
      </w:r>
    </w:p>
    <w:p>
      <w:pPr>
        <w:spacing w:after="120" w:before="80" w:line="276"/>
        <w:jc w:val="both"/>
      </w:pPr>
      <w:r>
        <w:rPr>
          <w:rFonts w:ascii="Arial" w:cs="Arial" w:eastAsia="Arial" w:hAnsi="Arial"/>
          <w:b/>
          <w:bCs/>
          <w:sz w:val="22"/>
          <w:szCs w:val="22"/>
        </w:rPr>
        <w:t xml:space="preserve">Breiman, L. (2001). </w:t>
      </w:r>
      <w:r>
        <w:rPr>
          <w:rFonts w:ascii="Arial" w:cs="Arial" w:eastAsia="Arial" w:hAnsi="Arial"/>
          <w:i/>
          <w:iCs/>
          <w:sz w:val="22"/>
          <w:szCs w:val="22"/>
        </w:rPr>
        <w:t xml:space="preserve">Random Forests. </w:t>
      </w:r>
      <w:r>
        <w:rPr>
          <w:rFonts w:ascii="Arial" w:cs="Arial" w:eastAsia="Arial" w:hAnsi="Arial"/>
          <w:sz w:val="22"/>
          <w:szCs w:val="22"/>
        </w:rPr>
        <w:t xml:space="preserve">Machine Learning, 45(1), 5-32.</w:t>
      </w:r>
    </w:p>
    <w:p>
      <w:pPr>
        <w:spacing w:after="80" w:before="0"/>
      </w:pPr>
      <w:r>
        <w:t xml:space="preserve"/>
      </w:r>
    </w:p>
    <w:p>
      <w:pPr>
        <w:spacing w:after="120" w:before="80" w:line="276"/>
        <w:jc w:val="both"/>
      </w:pPr>
      <w:r>
        <w:rPr>
          <w:rFonts w:ascii="Arial" w:cs="Arial" w:eastAsia="Arial" w:hAnsi="Arial"/>
          <w:b/>
          <w:bCs/>
          <w:sz w:val="22"/>
          <w:szCs w:val="22"/>
        </w:rPr>
        <w:t xml:space="preserve">Fisher, A., Rudin, C. &amp; Dominici, F. (2019). </w:t>
      </w:r>
      <w:r>
        <w:rPr>
          <w:rFonts w:ascii="Arial" w:cs="Arial" w:eastAsia="Arial" w:hAnsi="Arial"/>
          <w:i/>
          <w:iCs/>
          <w:sz w:val="22"/>
          <w:szCs w:val="22"/>
        </w:rPr>
        <w:t xml:space="preserve">All Models are Wrong, but Many are Useful: Learning a Variable's Importance by Studying an Entire Class of Prediction Models Simultaneously. </w:t>
      </w:r>
      <w:r>
        <w:rPr>
          <w:rFonts w:ascii="Arial" w:cs="Arial" w:eastAsia="Arial" w:hAnsi="Arial"/>
          <w:sz w:val="22"/>
          <w:szCs w:val="22"/>
        </w:rPr>
        <w:t xml:space="preserve">Journal of Machine Learning Research, 20(177), 1-81.</w:t>
      </w:r>
    </w:p>
    <w:p>
      <w:pPr>
        <w:spacing w:after="80" w:before="0"/>
      </w:pPr>
      <w:r>
        <w:t xml:space="preserve"/>
      </w:r>
    </w:p>
    <w:p>
      <w:pPr>
        <w:spacing w:after="120" w:before="80" w:line="276"/>
        <w:jc w:val="both"/>
      </w:pPr>
      <w:r>
        <w:rPr>
          <w:rFonts w:ascii="Arial" w:cs="Arial" w:eastAsia="Arial" w:hAnsi="Arial"/>
          <w:b/>
          <w:bCs/>
          <w:sz w:val="22"/>
          <w:szCs w:val="22"/>
        </w:rPr>
        <w:t xml:space="preserve">Goodfellow, I., Bengio, Y. &amp; Courville, A. (2016). </w:t>
      </w:r>
      <w:r>
        <w:rPr>
          <w:rFonts w:ascii="Arial" w:cs="Arial" w:eastAsia="Arial" w:hAnsi="Arial"/>
          <w:i/>
          <w:iCs/>
          <w:sz w:val="22"/>
          <w:szCs w:val="22"/>
        </w:rPr>
        <w:t xml:space="preserve">Deep Learning. </w:t>
      </w:r>
      <w:r>
        <w:rPr>
          <w:rFonts w:ascii="Arial" w:cs="Arial" w:eastAsia="Arial" w:hAnsi="Arial"/>
          <w:sz w:val="22"/>
          <w:szCs w:val="22"/>
        </w:rPr>
        <w:t xml:space="preserve">MIT Press.</w:t>
      </w:r>
    </w:p>
    <w:p>
      <w:pPr>
        <w:spacing w:after="80" w:before="0"/>
      </w:pPr>
      <w:r>
        <w:t xml:space="preserve"/>
      </w:r>
    </w:p>
    <w:p>
      <w:pPr>
        <w:spacing w:after="120" w:before="80" w:line="276"/>
        <w:jc w:val="both"/>
      </w:pPr>
      <w:r>
        <w:rPr>
          <w:rFonts w:ascii="Arial" w:cs="Arial" w:eastAsia="Arial" w:hAnsi="Arial"/>
          <w:b/>
          <w:bCs/>
          <w:sz w:val="22"/>
          <w:szCs w:val="22"/>
        </w:rPr>
        <w:t xml:space="preserve">Documentation officielle FastAPI. </w:t>
      </w:r>
      <w:r>
        <w:rPr>
          <w:rFonts w:ascii="Arial" w:cs="Arial" w:eastAsia="Arial" w:hAnsi="Arial"/>
          <w:sz w:val="22"/>
          <w:szCs w:val="22"/>
        </w:rPr>
        <w:t xml:space="preserve">https://fastapi.tiangolo.com</w:t>
      </w:r>
    </w:p>
    <w:p>
      <w:pPr>
        <w:spacing w:after="80" w:before="0"/>
      </w:pPr>
      <w:r>
        <w:t xml:space="preserve"/>
      </w:r>
    </w:p>
    <w:p>
      <w:pPr>
        <w:spacing w:after="120" w:before="80" w:line="276"/>
        <w:jc w:val="both"/>
      </w:pPr>
      <w:r>
        <w:rPr>
          <w:rFonts w:ascii="Arial" w:cs="Arial" w:eastAsia="Arial" w:hAnsi="Arial"/>
          <w:b/>
          <w:bCs/>
          <w:sz w:val="22"/>
          <w:szCs w:val="22"/>
        </w:rPr>
        <w:t xml:space="preserve">Documentation officielle Next.js. </w:t>
      </w:r>
      <w:r>
        <w:rPr>
          <w:rFonts w:ascii="Arial" w:cs="Arial" w:eastAsia="Arial" w:hAnsi="Arial"/>
          <w:sz w:val="22"/>
          <w:szCs w:val="22"/>
        </w:rPr>
        <w:t xml:space="preserve">https://nextjs.org/docs</w:t>
      </w:r>
    </w:p>
    <w:p>
      <w:pPr>
        <w:spacing w:after="80" w:before="0"/>
      </w:pPr>
      <w:r>
        <w:t xml:space="preserve"/>
      </w:r>
    </w:p>
    <w:p>
      <w:pPr>
        <w:spacing w:after="120" w:before="80" w:line="276"/>
        <w:jc w:val="both"/>
      </w:pPr>
      <w:r>
        <w:rPr>
          <w:rFonts w:ascii="Arial" w:cs="Arial" w:eastAsia="Arial" w:hAnsi="Arial"/>
          <w:b/>
          <w:bCs/>
          <w:sz w:val="22"/>
          <w:szCs w:val="22"/>
        </w:rPr>
        <w:t xml:space="preserve">Documentation scikit-learn. </w:t>
      </w:r>
      <w:r>
        <w:rPr>
          <w:rFonts w:ascii="Arial" w:cs="Arial" w:eastAsia="Arial" w:hAnsi="Arial"/>
          <w:sz w:val="22"/>
          <w:szCs w:val="22"/>
        </w:rPr>
        <w:t xml:space="preserve">https://scikit-learn.org/stable/</w:t>
      </w:r>
    </w:p>
    <w:p>
      <w:pPr>
        <w:spacing w:after="80" w:before="0"/>
      </w:pPr>
      <w:r>
        <w:t xml:space="preserve"/>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6"/>
        <w:szCs w:val="16"/>
      </w:rPr>
      <w:t xml:space="preserve">EFREI Paris  |  Master 1 Data Engineering  |  2025-2026          Page </w:t>
    </w:r>
    <w:r>
      <w:rPr>
        <w:rFonts w:ascii="Arial" w:cs="Arial" w:eastAsia="Arial" w:hAnsi="Arial"/>
        <w:color w:val="888888"/>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Arial" w:hAnsi="Arial"/>
        <w:color w:val="888888"/>
        <w:sz w:val="16"/>
        <w:szCs w:val="16"/>
      </w:rPr>
      <w:t xml:space="preserve">Optimisation du ROI Marketing  -  EFREI Paris  -  LE Quang Dat &amp; Adrien CHUEMBOU MBAH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E5F8A"/>
      <w:sz w:val="24"/>
      <w:szCs w:val="24"/>
    </w:rPr>
  </w:style>
  <w:style w:type="paragraph" w:styleId="Heading3">
    <w:name w:val="Heading 3"/>
    <w:basedOn w:val="Normal"/>
    <w:next w:val="Normal"/>
    <w:qFormat/>
    <w:pPr>
      <w:spacing w:after="8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2026-05-19T14:04:36.616Z</dcterms:created>
  <dcterms:modified xsi:type="dcterms:W3CDTF">2026-05-19T14:04:36.618Z</dcterms:modified>
</cp:coreProperties>
</file>

<file path=docProps/custom.xml><?xml version="1.0" encoding="utf-8"?>
<Properties xmlns="http://schemas.openxmlformats.org/officeDocument/2006/custom-properties" xmlns:vt="http://schemas.openxmlformats.org/officeDocument/2006/docPropsVTypes"/>
</file>