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330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3c78d8"/>
        </w:rPr>
      </w:pPr>
      <w:bookmarkStart w:colFirst="0" w:colLast="0" w:name="_34bw5hkwjky" w:id="0"/>
      <w:bookmarkEnd w:id="0"/>
      <w:r w:rsidDel="00000000" w:rsidR="00000000" w:rsidRPr="00000000">
        <w:rPr>
          <w:rtl w:val="0"/>
        </w:rPr>
        <w:t xml:space="preserve">Question 1) Is T1 firable from the initial marking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Yes, T1 is fireable: P1 → T1 can be fired because m(P1) = 2 and PRE.t1(P1, T1) require 2.</w:t>
        <w:br w:type="textWrapping"/>
        <w:t xml:space="preserve">Reachable marking = M1, when T1 fired.</w:t>
        <w:br w:type="textWrapping"/>
        <w:t xml:space="preserve">M0 = { 2, 3 }</w:t>
        <w:tab/>
        <w:tab/>
        <w:t xml:space="preserve">// Order: Mn = { P1-tokens, P2-tokens }</w:t>
        <w:br w:type="textWrapping"/>
        <w:t xml:space="preserve">M1 = { 5, 10 }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t42elh49ah0t" w:id="1"/>
      <w:bookmarkEnd w:id="1"/>
      <w:r w:rsidDel="00000000" w:rsidR="00000000" w:rsidRPr="00000000">
        <w:rPr>
          <w:rtl w:val="0"/>
        </w:rPr>
        <w:t xml:space="preserve">Question 2) Give the incidence matrix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</w:t>
      </w:r>
    </w:p>
    <w:tbl>
      <w:tblPr>
        <w:tblStyle w:val="Table1"/>
        <w:bidiVisual w:val="0"/>
        <w:tblW w:w="7200.0" w:type="dxa"/>
        <w:jc w:val="left"/>
        <w:tblLayout w:type="fixed"/>
        <w:tblLook w:val="0600"/>
      </w:tblPr>
      <w:tblGrid>
        <w:gridCol w:w="1845"/>
        <w:gridCol w:w="1785"/>
        <w:gridCol w:w="1785"/>
        <w:gridCol w:w="1785"/>
        <w:tblGridChange w:id="0">
          <w:tblGrid>
            <w:gridCol w:w="1845"/>
            <w:gridCol w:w="1785"/>
            <w:gridCol w:w="1785"/>
            <w:gridCol w:w="1785"/>
          </w:tblGrid>
        </w:tblGridChange>
      </w:tblGrid>
      <w:t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color w:val="ffffff"/>
                <w:shd w:fill="666666" w:val="clear"/>
              </w:rPr>
            </w:pPr>
            <w:r w:rsidDel="00000000" w:rsidR="00000000" w:rsidRPr="00000000">
              <w:rPr>
                <w:color w:val="ffffff"/>
                <w:shd w:fill="666666" w:val="clear"/>
                <w:rtl w:val="0"/>
              </w:rPr>
              <w:t xml:space="preserve">T1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color w:val="ffffff"/>
                <w:shd w:fill="666666" w:val="clear"/>
              </w:rPr>
            </w:pPr>
            <w:r w:rsidDel="00000000" w:rsidR="00000000" w:rsidRPr="00000000">
              <w:rPr>
                <w:color w:val="ffffff"/>
                <w:shd w:fill="666666" w:val="clear"/>
                <w:rtl w:val="0"/>
              </w:rPr>
              <w:t xml:space="preserve">T2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color w:val="ffffff"/>
                <w:shd w:fill="666666" w:val="clear"/>
              </w:rPr>
            </w:pPr>
            <w:r w:rsidDel="00000000" w:rsidR="00000000" w:rsidRPr="00000000">
              <w:rPr>
                <w:color w:val="ffffff"/>
                <w:shd w:fill="666666" w:val="clear"/>
                <w:rtl w:val="0"/>
              </w:rPr>
              <w:t xml:space="preserve">T3</w:t>
            </w:r>
          </w:p>
        </w:tc>
      </w:tr>
      <w:tr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P1</w:t>
            </w:r>
          </w:p>
        </w:tc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2</w:t>
            </w:r>
          </w:p>
        </w:tc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</w:t>
            </w:r>
          </w:p>
        </w:tc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P2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</w:t>
      </w:r>
    </w:p>
    <w:tbl>
      <w:tblPr>
        <w:tblStyle w:val="Table2"/>
        <w:bidiVisual w:val="0"/>
        <w:tblW w:w="7200.0" w:type="dxa"/>
        <w:jc w:val="left"/>
        <w:tblLayout w:type="fixed"/>
        <w:tblLook w:val="0600"/>
      </w:tblPr>
      <w:tblGrid>
        <w:gridCol w:w="1845"/>
        <w:gridCol w:w="1785"/>
        <w:gridCol w:w="1785"/>
        <w:gridCol w:w="1785"/>
        <w:tblGridChange w:id="0">
          <w:tblGrid>
            <w:gridCol w:w="1845"/>
            <w:gridCol w:w="1785"/>
            <w:gridCol w:w="1785"/>
            <w:gridCol w:w="1785"/>
          </w:tblGrid>
        </w:tblGridChange>
      </w:tblGrid>
      <w:t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color w:val="ffffff"/>
                <w:shd w:fill="666666" w:val="clear"/>
              </w:rPr>
            </w:pPr>
            <w:r w:rsidDel="00000000" w:rsidR="00000000" w:rsidRPr="00000000">
              <w:rPr>
                <w:color w:val="ffffff"/>
                <w:shd w:fill="666666" w:val="clear"/>
                <w:rtl w:val="0"/>
              </w:rPr>
              <w:t xml:space="preserve">T1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color w:val="ffffff"/>
                <w:shd w:fill="666666" w:val="clear"/>
              </w:rPr>
            </w:pPr>
            <w:r w:rsidDel="00000000" w:rsidR="00000000" w:rsidRPr="00000000">
              <w:rPr>
                <w:color w:val="ffffff"/>
                <w:shd w:fill="666666" w:val="clear"/>
                <w:rtl w:val="0"/>
              </w:rPr>
              <w:t xml:space="preserve">T2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color w:val="ffffff"/>
                <w:shd w:fill="666666" w:val="clear"/>
              </w:rPr>
            </w:pPr>
            <w:r w:rsidDel="00000000" w:rsidR="00000000" w:rsidRPr="00000000">
              <w:rPr>
                <w:color w:val="ffffff"/>
                <w:shd w:fill="666666" w:val="clear"/>
                <w:rtl w:val="0"/>
              </w:rPr>
              <w:t xml:space="preserve">T3</w:t>
            </w:r>
          </w:p>
        </w:tc>
      </w:tr>
      <w:tr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P1</w:t>
            </w:r>
          </w:p>
        </w:tc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2c4c9" w:val="clear"/>
              </w:rPr>
            </w:pPr>
            <w:r w:rsidDel="00000000" w:rsidR="00000000" w:rsidRPr="00000000">
              <w:rPr>
                <w:shd w:fill="a2c4c9" w:val="clear"/>
                <w:rtl w:val="0"/>
              </w:rPr>
              <w:t xml:space="preserve">5</w:t>
            </w:r>
          </w:p>
        </w:tc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2c4c9" w:val="clear"/>
              </w:rPr>
            </w:pPr>
            <w:r w:rsidDel="00000000" w:rsidR="00000000" w:rsidRPr="00000000">
              <w:rPr>
                <w:shd w:fill="a2c4c9" w:val="clear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P2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2c4c9" w:val="clear"/>
              </w:rPr>
            </w:pPr>
            <w:r w:rsidDel="00000000" w:rsidR="00000000" w:rsidRPr="00000000">
              <w:rPr>
                <w:shd w:fill="a2c4c9" w:val="clear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2c4c9" w:val="clear"/>
              </w:rPr>
            </w:pPr>
            <w:r w:rsidDel="00000000" w:rsidR="00000000" w:rsidRPr="00000000">
              <w:rPr>
                <w:shd w:fill="a2c4c9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Incidence matrix C </w:t>
      </w:r>
    </w:p>
    <w:tbl>
      <w:tblPr>
        <w:tblStyle w:val="Table3"/>
        <w:bidiVisual w:val="0"/>
        <w:tblW w:w="7200.0" w:type="dxa"/>
        <w:jc w:val="left"/>
        <w:tblLayout w:type="fixed"/>
        <w:tblLook w:val="0600"/>
      </w:tblPr>
      <w:tblGrid>
        <w:gridCol w:w="1845"/>
        <w:gridCol w:w="1785"/>
        <w:gridCol w:w="1785"/>
        <w:gridCol w:w="1785"/>
        <w:tblGridChange w:id="0">
          <w:tblGrid>
            <w:gridCol w:w="1845"/>
            <w:gridCol w:w="1785"/>
            <w:gridCol w:w="1785"/>
            <w:gridCol w:w="1785"/>
          </w:tblGrid>
        </w:tblGridChange>
      </w:tblGrid>
      <w:t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color w:val="ffffff"/>
                <w:shd w:fill="666666" w:val="clear"/>
              </w:rPr>
            </w:pPr>
            <w:r w:rsidDel="00000000" w:rsidR="00000000" w:rsidRPr="00000000">
              <w:rPr>
                <w:color w:val="ffffff"/>
                <w:shd w:fill="666666" w:val="clear"/>
                <w:rtl w:val="0"/>
              </w:rPr>
              <w:t xml:space="preserve">T1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color w:val="ffffff"/>
                <w:shd w:fill="666666" w:val="clear"/>
              </w:rPr>
            </w:pPr>
            <w:r w:rsidDel="00000000" w:rsidR="00000000" w:rsidRPr="00000000">
              <w:rPr>
                <w:color w:val="ffffff"/>
                <w:shd w:fill="666666" w:val="clear"/>
                <w:rtl w:val="0"/>
              </w:rPr>
              <w:t xml:space="preserve">T2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color w:val="ffffff"/>
                <w:shd w:fill="666666" w:val="clear"/>
              </w:rPr>
            </w:pPr>
            <w:r w:rsidDel="00000000" w:rsidR="00000000" w:rsidRPr="00000000">
              <w:rPr>
                <w:color w:val="ffffff"/>
                <w:shd w:fill="666666" w:val="clear"/>
                <w:rtl w:val="0"/>
              </w:rPr>
              <w:t xml:space="preserve">T3</w:t>
            </w:r>
          </w:p>
        </w:tc>
      </w:tr>
      <w:tr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P1</w:t>
            </w:r>
          </w:p>
        </w:tc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2c4c9" w:val="clear"/>
              </w:rPr>
            </w:pPr>
            <w:r w:rsidDel="00000000" w:rsidR="00000000" w:rsidRPr="00000000">
              <w:rPr>
                <w:shd w:fill="a2c4c9" w:val="clear"/>
                <w:rtl w:val="0"/>
              </w:rPr>
              <w:t xml:space="preserve">3</w:t>
            </w:r>
          </w:p>
        </w:tc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-1</w:t>
            </w:r>
          </w:p>
        </w:tc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2c4c9" w:val="clear"/>
              </w:rPr>
            </w:pPr>
            <w:r w:rsidDel="00000000" w:rsidR="00000000" w:rsidRPr="00000000">
              <w:rPr>
                <w:shd w:fill="a2c4c9" w:val="clear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P2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2c4c9" w:val="clear"/>
              </w:rPr>
            </w:pPr>
            <w:r w:rsidDel="00000000" w:rsidR="00000000" w:rsidRPr="00000000">
              <w:rPr>
                <w:shd w:fill="a2c4c9" w:val="clear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Incidence matrice C is defined by </w:t>
      </w:r>
      <w:r w:rsidDel="00000000" w:rsidR="00000000" w:rsidRPr="00000000">
        <w:drawing>
          <wp:inline distB="114300" distT="114300" distL="114300" distR="114300">
            <wp:extent cx="2133600" cy="177800"/>
            <wp:effectExtent b="0" l="0" r="0" t="0"/>
            <wp:docPr descr="C = POST - PRE" id="2" name="image03.png"/>
            <a:graphic>
              <a:graphicData uri="http://schemas.openxmlformats.org/drawingml/2006/picture">
                <pic:pic>
                  <pic:nvPicPr>
                    <pic:cNvPr descr="C = POST - PRE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C(P1, T1) = POST(P1, T1) - PRE(P1,T1) = 5 - 2 = 3</w:t>
        <w:br w:type="textWrapping"/>
        <w:t xml:space="preserve">C(P2, T2) = POST(P2, T2) - PRE(P2, T2) = 3 - 6 = -3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i3qutru5o9b" w:id="2"/>
      <w:bookmarkEnd w:id="2"/>
      <w:r w:rsidDel="00000000" w:rsidR="00000000" w:rsidRPr="00000000">
        <w:rPr>
          <w:rtl w:val="0"/>
        </w:rPr>
        <w:t xml:space="preserve">Question 3) Check formally the fireability of the transition T1. If T1 is fireable, then compute the reachable marking formally.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color w:val="3c78d8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