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435" w:type="dxa"/>
        <w:tblLook w:val="04A0" w:firstRow="1" w:lastRow="0" w:firstColumn="1" w:lastColumn="0" w:noHBand="0" w:noVBand="1"/>
      </w:tblPr>
      <w:tblGrid>
        <w:gridCol w:w="7217"/>
        <w:gridCol w:w="7218"/>
      </w:tblGrid>
      <w:tr w:rsidR="00810361" w:rsidRPr="009B4C85" w:rsidTr="00036515">
        <w:trPr>
          <w:trHeight w:val="540"/>
        </w:trPr>
        <w:tc>
          <w:tcPr>
            <w:tcW w:w="7217" w:type="dxa"/>
          </w:tcPr>
          <w:p w:rsidR="00810361" w:rsidRDefault="00810361" w:rsidP="009F2149">
            <w:pPr>
              <w:jc w:val="center"/>
              <w:rPr>
                <w:b/>
                <w:lang w:val="en-US"/>
              </w:rPr>
            </w:pPr>
            <w:proofErr w:type="spellStart"/>
            <w:r w:rsidRPr="009F2149">
              <w:rPr>
                <w:b/>
                <w:lang w:val="en-US"/>
              </w:rPr>
              <w:t>Contenido</w:t>
            </w:r>
            <w:proofErr w:type="spellEnd"/>
          </w:p>
          <w:p w:rsidR="009F2149" w:rsidRPr="009F2149" w:rsidRDefault="009F2149" w:rsidP="009F2149">
            <w:pPr>
              <w:jc w:val="center"/>
              <w:rPr>
                <w:b/>
                <w:lang w:val="en-US"/>
              </w:rPr>
            </w:pPr>
          </w:p>
          <w:p w:rsidR="009F2149" w:rsidRDefault="009F2149" w:rsidP="009F2149">
            <w:pPr>
              <w:jc w:val="both"/>
            </w:pPr>
            <w:r w:rsidRPr="009F2149">
              <w:t xml:space="preserve">En este libro </w:t>
            </w:r>
            <w:proofErr w:type="spellStart"/>
            <w:r w:rsidRPr="009F2149">
              <w:t>Wei</w:t>
            </w:r>
            <w:proofErr w:type="spellEnd"/>
            <w:r w:rsidRPr="009F2149">
              <w:t xml:space="preserve"> Ji </w:t>
            </w:r>
            <w:proofErr w:type="spellStart"/>
            <w:r w:rsidRPr="009F2149">
              <w:t>Ma</w:t>
            </w:r>
            <w:proofErr w:type="spellEnd"/>
            <w:r w:rsidRPr="009F2149">
              <w:t xml:space="preserve"> </w:t>
            </w:r>
            <w:r>
              <w:t>presenta un tutorial detallado para construir modelos bayesianos en percepción, que parten del supuesto de que ésta funciona esencialmente como un proceso de inferencia probabilística, donde el cerebro tiene que estructurar una conclusión a partir de estimulaciones sensoriales imperfectas e incomp</w:t>
            </w:r>
            <w:r w:rsidR="0053668C">
              <w:t>letas, altamente cargadas de incertidumbre.</w:t>
            </w:r>
          </w:p>
          <w:p w:rsidR="0053668C" w:rsidRDefault="0053668C" w:rsidP="009F2149">
            <w:pPr>
              <w:jc w:val="both"/>
            </w:pPr>
          </w:p>
          <w:p w:rsidR="0053668C" w:rsidRDefault="0053668C" w:rsidP="009F2149">
            <w:pPr>
              <w:jc w:val="both"/>
            </w:pPr>
            <w:r>
              <w:t>La idea central es que los observadores inferimos el estado del mundo dada la estimulación sensorial recibida, de la misma forma en que los estadistas bayesianos infieren el valor de ciertos parámetros dados los datos.</w:t>
            </w:r>
          </w:p>
          <w:p w:rsidR="0053668C" w:rsidRDefault="0053668C" w:rsidP="009F2149">
            <w:pPr>
              <w:jc w:val="both"/>
            </w:pPr>
          </w:p>
          <w:p w:rsidR="0053668C" w:rsidRPr="0053668C" w:rsidRDefault="0053668C" w:rsidP="009F2149">
            <w:pPr>
              <w:jc w:val="both"/>
            </w:pPr>
            <w:r>
              <w:t>A la mejor inferencia probabilística posible, se le conoce como inferencia Bayesiana, e implica un cómputo óptimo de la probabilidad de cada interpretación posible que permita maximizar la conducta del sujeto (maximizando las ganancias y reduciendo sus pérdidas). La transición entre la Sensación y su Percepción depende de este proceso.</w:t>
            </w:r>
          </w:p>
          <w:p w:rsidR="00810361" w:rsidRDefault="00810361" w:rsidP="0053668C">
            <w:pPr>
              <w:jc w:val="both"/>
            </w:pPr>
          </w:p>
        </w:tc>
        <w:tc>
          <w:tcPr>
            <w:tcW w:w="7218" w:type="dxa"/>
          </w:tcPr>
          <w:p w:rsidR="00810361" w:rsidRPr="0053668C" w:rsidRDefault="00810361" w:rsidP="0053668C">
            <w:pPr>
              <w:jc w:val="center"/>
              <w:rPr>
                <w:b/>
              </w:rPr>
            </w:pPr>
            <w:r w:rsidRPr="0053668C">
              <w:rPr>
                <w:b/>
              </w:rPr>
              <w:t>Método</w:t>
            </w:r>
          </w:p>
          <w:p w:rsidR="009B4C85" w:rsidRDefault="009B4C85"/>
          <w:p w:rsidR="008D78D6" w:rsidRDefault="008D78D6" w:rsidP="0053668C">
            <w:pPr>
              <w:jc w:val="both"/>
            </w:pPr>
            <w:r>
              <w:t>Para aterrizar la conceptualización de la percepción como una instancia de toma de decisiones guiada por inferencia probabilística, el autor comienza definiendo los siguientes conceptos:</w:t>
            </w:r>
          </w:p>
          <w:p w:rsidR="008D78D6" w:rsidRDefault="008D78D6" w:rsidP="0053668C">
            <w:pPr>
              <w:jc w:val="both"/>
            </w:pPr>
          </w:p>
          <w:p w:rsidR="008D78D6" w:rsidRDefault="008D78D6" w:rsidP="0053668C">
            <w:pPr>
              <w:jc w:val="both"/>
            </w:pPr>
            <w:r>
              <w:t>Verosimilitud:</w:t>
            </w:r>
            <w:r w:rsidR="00A5378F">
              <w:t xml:space="preserve"> Se</w:t>
            </w:r>
            <w:r w:rsidR="00426A24">
              <w:t xml:space="preserve"> refiere a la probabilidad condicional de que la estimulación sensorial recibida corresponda con nuestra interpretación del mundo. La función de verosimilitud se</w:t>
            </w:r>
            <w:r w:rsidR="00A5378F">
              <w:t xml:space="preserve"> mantiene constante y depende exclusivamente de la estimulación sensorial</w:t>
            </w:r>
            <w:r w:rsidR="00426A24">
              <w:t>.</w:t>
            </w:r>
          </w:p>
          <w:p w:rsidR="00A5378F" w:rsidRDefault="00A5378F" w:rsidP="00426A24">
            <w:pPr>
              <w:jc w:val="center"/>
            </w:pPr>
            <w:r>
              <w:t>P(Parece A | A)</w:t>
            </w:r>
          </w:p>
          <w:p w:rsidR="008D78D6" w:rsidRDefault="008D78D6" w:rsidP="0053668C">
            <w:pPr>
              <w:jc w:val="both"/>
            </w:pPr>
          </w:p>
          <w:p w:rsidR="008D78D6" w:rsidRDefault="008D78D6" w:rsidP="0053668C">
            <w:pPr>
              <w:jc w:val="both"/>
            </w:pPr>
            <w:r>
              <w:t>Distribuciones prior:</w:t>
            </w:r>
            <w:r w:rsidR="00A5378F">
              <w:t xml:space="preserve"> </w:t>
            </w:r>
            <w:r w:rsidR="00426A24">
              <w:t xml:space="preserve">Se refiere a la información que tenemos, previo a nuestra elección, respecto de la probabilidad de ocurrencia de cada una de nuestras posibles interpretaciones, con independencia de lo que estamos observando en ése preciso instante. Las </w:t>
            </w:r>
            <w:proofErr w:type="spellStart"/>
            <w:r w:rsidR="00426A24">
              <w:t>priors</w:t>
            </w:r>
            <w:proofErr w:type="spellEnd"/>
            <w:r w:rsidR="00426A24">
              <w:t xml:space="preserve"> s</w:t>
            </w:r>
            <w:r w:rsidR="00A5378F">
              <w:t>e actualiza</w:t>
            </w:r>
            <w:r w:rsidR="00426A24">
              <w:t>n</w:t>
            </w:r>
            <w:r w:rsidR="00A5378F">
              <w:t xml:space="preserve"> conforme nos exponemos a la tarea y representa nuestras expectativas.</w:t>
            </w:r>
          </w:p>
          <w:p w:rsidR="009F2149" w:rsidRDefault="00DB49FA" w:rsidP="00DB49FA">
            <w:pPr>
              <w:jc w:val="center"/>
            </w:pPr>
            <w:r>
              <w:t>P(A)</w:t>
            </w:r>
          </w:p>
          <w:p w:rsidR="00DB49FA" w:rsidRPr="00E92F69" w:rsidRDefault="00DB49FA" w:rsidP="00DB49FA">
            <w:pPr>
              <w:jc w:val="center"/>
            </w:pPr>
          </w:p>
        </w:tc>
      </w:tr>
      <w:tr w:rsidR="00810361" w:rsidTr="00036515">
        <w:trPr>
          <w:trHeight w:val="540"/>
        </w:trPr>
        <w:tc>
          <w:tcPr>
            <w:tcW w:w="7217" w:type="dxa"/>
          </w:tcPr>
          <w:p w:rsidR="00810361" w:rsidRDefault="00810361" w:rsidP="008D78D6">
            <w:pPr>
              <w:jc w:val="center"/>
              <w:rPr>
                <w:b/>
              </w:rPr>
            </w:pPr>
            <w:r w:rsidRPr="008D78D6">
              <w:rPr>
                <w:b/>
              </w:rPr>
              <w:t>Resultados</w:t>
            </w:r>
          </w:p>
          <w:p w:rsidR="000C29E4" w:rsidRDefault="000C29E4" w:rsidP="000C29E4">
            <w:pPr>
              <w:jc w:val="both"/>
            </w:pPr>
          </w:p>
          <w:p w:rsidR="000C29E4" w:rsidRDefault="00680DBE" w:rsidP="000C29E4">
            <w:pPr>
              <w:jc w:val="both"/>
            </w:pPr>
            <w:r>
              <w:t>Con base en el cómputo de las funciones de verosimilitud, y las distribuciones prior, el sistema actualiza, ensayo a ensayo una d</w:t>
            </w:r>
            <w:r w:rsidR="000C29E4">
              <w:t>istribu</w:t>
            </w:r>
            <w:r>
              <w:t>ción posterior, que guía su comportamiento.</w:t>
            </w:r>
            <w:r w:rsidR="002D1D02">
              <w:t xml:space="preserve"> Dicha integración se formaliza de la siguiente forma:</w:t>
            </w:r>
          </w:p>
          <w:p w:rsidR="00426A24" w:rsidRDefault="000C29E4" w:rsidP="00680DBE">
            <w:pPr>
              <w:jc w:val="center"/>
            </w:pPr>
            <w:r>
              <w:object w:dxaOrig="11550" w:dyaOrig="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96.85pt;height:44.15pt" o:ole="">
                  <v:imagedata r:id="rId8" o:title=""/>
                </v:shape>
                <o:OLEObject Type="Embed" ProgID="PBrush" ShapeID="_x0000_i1083" DrawAspect="Content" ObjectID="_1509286507" r:id="rId9"/>
              </w:object>
            </w:r>
          </w:p>
          <w:p w:rsidR="00B332AC" w:rsidRDefault="00B332AC" w:rsidP="00680DBE">
            <w:pPr>
              <w:jc w:val="center"/>
            </w:pPr>
          </w:p>
          <w:p w:rsidR="002D1D02" w:rsidRDefault="00DB49FA" w:rsidP="00DB49FA">
            <w:pPr>
              <w:jc w:val="both"/>
            </w:pPr>
            <w:r>
              <w:t>La idea es que esta distribución Posterior se va actualizando ensayo a ensayo, ocupando el lugar de la distribución Prior en el ensayo inmediatamente posterior.</w:t>
            </w:r>
          </w:p>
          <w:p w:rsidR="00DB49FA" w:rsidRDefault="00DB49FA" w:rsidP="00DB49FA">
            <w:pPr>
              <w:jc w:val="both"/>
            </w:pPr>
          </w:p>
          <w:p w:rsidR="00135AA1" w:rsidRPr="008D78D6" w:rsidRDefault="00DB49FA" w:rsidP="00B332AC">
            <w:pPr>
              <w:jc w:val="both"/>
              <w:rPr>
                <w:b/>
              </w:rPr>
            </w:pPr>
            <w:r>
              <w:t>De esta forma, los sujetos que han sido expuestos a un estímulo, o categoría de estos, con frecuencia, terminarán por formar un estimado de las MAP (</w:t>
            </w:r>
            <w:proofErr w:type="spellStart"/>
            <w:r>
              <w:t>Maximun</w:t>
            </w:r>
            <w:proofErr w:type="spellEnd"/>
            <w:r>
              <w:t xml:space="preserve"> A Posteriori </w:t>
            </w:r>
            <w:proofErr w:type="spellStart"/>
            <w:r>
              <w:t>estimation</w:t>
            </w:r>
            <w:proofErr w:type="spellEnd"/>
            <w:r>
              <w:t>, por sus siglas en inglés)</w:t>
            </w:r>
            <w:r w:rsidR="00135AA1">
              <w:t>, que les permita maximizar sus ganancias al comparar las funciones de verosimilitud para cada posible interpretación de la estimulación sensorial evaluada.</w:t>
            </w:r>
          </w:p>
        </w:tc>
        <w:tc>
          <w:tcPr>
            <w:tcW w:w="7218" w:type="dxa"/>
          </w:tcPr>
          <w:p w:rsidR="00810361" w:rsidRPr="008D78D6" w:rsidRDefault="00810361" w:rsidP="008D78D6">
            <w:pPr>
              <w:jc w:val="center"/>
              <w:rPr>
                <w:b/>
              </w:rPr>
            </w:pPr>
            <w:r w:rsidRPr="008D78D6">
              <w:rPr>
                <w:b/>
              </w:rPr>
              <w:t>Aplicación</w:t>
            </w:r>
          </w:p>
          <w:p w:rsidR="001F2013" w:rsidRDefault="001F2013"/>
          <w:p w:rsidR="00810361" w:rsidRDefault="001F2013" w:rsidP="00135AA1">
            <w:pPr>
              <w:jc w:val="both"/>
            </w:pPr>
            <w:r>
              <w:t>Se contempla las implicaciones de manipular la tasa de presentación de los distintos estímulos (con señal y con sólo ruido) que componen l</w:t>
            </w:r>
            <w:r w:rsidR="00EE6C34">
              <w:t>a tarea de detección propuesta, o bien, utilizar estímulos con cuya presentación periódica estén familiarizados los sujetos en entornos reales.</w:t>
            </w:r>
          </w:p>
          <w:p w:rsidR="004E7A67" w:rsidRDefault="004E7A67" w:rsidP="00135AA1">
            <w:pPr>
              <w:jc w:val="both"/>
            </w:pPr>
          </w:p>
          <w:p w:rsidR="004E7A67" w:rsidRDefault="004E7A67" w:rsidP="00135AA1">
            <w:pPr>
              <w:jc w:val="both"/>
            </w:pPr>
            <w:r>
              <w:t>No o</w:t>
            </w:r>
            <w:r w:rsidR="00852A56">
              <w:t>bstante, los detalles técnicos en cuanto al modelamiento en computadora de los modelos Bayesianos permanecen poco claros.  De momento estoy buscando la forma de establecer contacto con el autor del libro y solicitar su asesoría en el tema (así como la obtención de materiales más completos en el tema).</w:t>
            </w:r>
            <w:bookmarkStart w:id="0" w:name="_GoBack"/>
            <w:bookmarkEnd w:id="0"/>
          </w:p>
          <w:p w:rsidR="00B332AC" w:rsidRDefault="00B332AC" w:rsidP="00135AA1">
            <w:pPr>
              <w:jc w:val="both"/>
            </w:pPr>
          </w:p>
          <w:p w:rsidR="00B332AC" w:rsidRDefault="00B332AC" w:rsidP="00135AA1">
            <w:pPr>
              <w:jc w:val="both"/>
            </w:pPr>
          </w:p>
          <w:p w:rsidR="00135AA1" w:rsidRDefault="00135AA1" w:rsidP="00135AA1">
            <w:pPr>
              <w:jc w:val="both"/>
            </w:pPr>
          </w:p>
          <w:p w:rsidR="00135AA1" w:rsidRDefault="00135AA1" w:rsidP="00135AA1">
            <w:pPr>
              <w:jc w:val="both"/>
            </w:pPr>
          </w:p>
        </w:tc>
      </w:tr>
      <w:tr w:rsidR="00310D64" w:rsidTr="00036515">
        <w:trPr>
          <w:trHeight w:val="540"/>
        </w:trPr>
        <w:tc>
          <w:tcPr>
            <w:tcW w:w="14435" w:type="dxa"/>
            <w:gridSpan w:val="2"/>
          </w:tcPr>
          <w:p w:rsidR="00426A24" w:rsidRPr="00426A24" w:rsidRDefault="00310D64" w:rsidP="00426A24">
            <w:pPr>
              <w:jc w:val="center"/>
              <w:rPr>
                <w:b/>
              </w:rPr>
            </w:pPr>
            <w:r w:rsidRPr="00426A24">
              <w:rPr>
                <w:b/>
              </w:rPr>
              <w:t>Referencia:</w:t>
            </w:r>
          </w:p>
          <w:p w:rsidR="00310D64" w:rsidRDefault="00D06F02" w:rsidP="00835F5D">
            <w:r w:rsidRPr="00426A24">
              <w:rPr>
                <w:lang w:val="en-US"/>
              </w:rPr>
              <w:t xml:space="preserve">Wei, JM, </w:t>
            </w:r>
            <w:proofErr w:type="spellStart"/>
            <w:r w:rsidRPr="00426A24">
              <w:rPr>
                <w:lang w:val="en-US"/>
              </w:rPr>
              <w:t>Konrad</w:t>
            </w:r>
            <w:proofErr w:type="spellEnd"/>
            <w:r w:rsidRPr="00426A24">
              <w:rPr>
                <w:lang w:val="en-US"/>
              </w:rPr>
              <w:t xml:space="preserve">, K, </w:t>
            </w:r>
            <w:proofErr w:type="spellStart"/>
            <w:r w:rsidRPr="00426A24">
              <w:rPr>
                <w:lang w:val="en-US"/>
              </w:rPr>
              <w:t>Goldreich</w:t>
            </w:r>
            <w:proofErr w:type="spellEnd"/>
            <w:r w:rsidRPr="00426A24">
              <w:rPr>
                <w:lang w:val="en-US"/>
              </w:rPr>
              <w:t>, D.</w:t>
            </w:r>
            <w:r w:rsidR="00036515" w:rsidRPr="00426A24">
              <w:rPr>
                <w:lang w:val="en-US"/>
              </w:rPr>
              <w:t xml:space="preserve"> (2002). </w:t>
            </w:r>
            <w:proofErr w:type="spellStart"/>
            <w:r w:rsidRPr="00D06F02">
              <w:t>Bayesian</w:t>
            </w:r>
            <w:proofErr w:type="spellEnd"/>
            <w:r w:rsidRPr="00D06F02">
              <w:t xml:space="preserve"> </w:t>
            </w:r>
            <w:proofErr w:type="spellStart"/>
            <w:r w:rsidRPr="00D06F02">
              <w:t>modeling</w:t>
            </w:r>
            <w:proofErr w:type="spellEnd"/>
            <w:r w:rsidRPr="00D06F02">
              <w:t xml:space="preserve"> of </w:t>
            </w:r>
            <w:proofErr w:type="spellStart"/>
            <w:r w:rsidRPr="00D06F02">
              <w:t>Perception</w:t>
            </w:r>
            <w:proofErr w:type="spellEnd"/>
            <w:r w:rsidRPr="00D06F02">
              <w:t>.</w:t>
            </w:r>
            <w:r w:rsidR="00036515">
              <w:t xml:space="preserve"> </w:t>
            </w:r>
          </w:p>
        </w:tc>
      </w:tr>
      <w:tr w:rsidR="0053668C" w:rsidRPr="00682D3E" w:rsidTr="00D233FE">
        <w:trPr>
          <w:trHeight w:val="540"/>
        </w:trPr>
        <w:tc>
          <w:tcPr>
            <w:tcW w:w="7217" w:type="dxa"/>
          </w:tcPr>
          <w:p w:rsidR="0053668C" w:rsidRPr="00682D3E" w:rsidRDefault="0053668C" w:rsidP="00D233FE">
            <w:pPr>
              <w:jc w:val="center"/>
              <w:rPr>
                <w:b/>
                <w:sz w:val="20"/>
                <w:szCs w:val="20"/>
              </w:rPr>
            </w:pPr>
            <w:r w:rsidRPr="00682D3E">
              <w:rPr>
                <w:b/>
                <w:sz w:val="20"/>
                <w:szCs w:val="20"/>
              </w:rPr>
              <w:lastRenderedPageBreak/>
              <w:t>Contenido</w:t>
            </w:r>
          </w:p>
          <w:p w:rsidR="0053668C" w:rsidRPr="00682D3E" w:rsidRDefault="0053668C" w:rsidP="00D233FE">
            <w:pPr>
              <w:jc w:val="center"/>
              <w:rPr>
                <w:b/>
                <w:sz w:val="20"/>
                <w:szCs w:val="20"/>
              </w:rPr>
            </w:pPr>
          </w:p>
          <w:p w:rsidR="0053668C" w:rsidRPr="00682D3E" w:rsidRDefault="0053668C" w:rsidP="0053668C">
            <w:pPr>
              <w:jc w:val="both"/>
              <w:rPr>
                <w:sz w:val="20"/>
                <w:szCs w:val="20"/>
              </w:rPr>
            </w:pPr>
            <w:r w:rsidRPr="00682D3E">
              <w:rPr>
                <w:sz w:val="20"/>
                <w:szCs w:val="20"/>
              </w:rPr>
              <w:t xml:space="preserve">La TDS distingue dos grandes factores en la emisión de un juicio de detección: la Discriminabilidad de la señal respecto del ruido (d’; </w:t>
            </w:r>
            <w:proofErr w:type="spellStart"/>
            <w:r w:rsidRPr="00682D3E">
              <w:rPr>
                <w:sz w:val="20"/>
                <w:szCs w:val="20"/>
              </w:rPr>
              <w:t>a.k.a</w:t>
            </w:r>
            <w:proofErr w:type="spellEnd"/>
            <w:r w:rsidRPr="00682D3E">
              <w:rPr>
                <w:sz w:val="20"/>
                <w:szCs w:val="20"/>
              </w:rPr>
              <w:t xml:space="preserve">. ‘Sensibilidad del sistema’) y el Sesgo (β; c) en función al conocimiento que se tenga sobre la estructura de la tarea, (i.e. </w:t>
            </w:r>
            <w:r w:rsidRPr="00682D3E">
              <w:rPr>
                <w:sz w:val="20"/>
                <w:szCs w:val="20"/>
                <w:lang w:val="es-ES"/>
              </w:rPr>
              <w:t>C</w:t>
            </w:r>
            <w:proofErr w:type="spellStart"/>
            <w:r w:rsidRPr="00682D3E">
              <w:rPr>
                <w:sz w:val="20"/>
                <w:szCs w:val="20"/>
              </w:rPr>
              <w:t>onsecuencias</w:t>
            </w:r>
            <w:proofErr w:type="spellEnd"/>
            <w:r w:rsidRPr="00682D3E">
              <w:rPr>
                <w:sz w:val="20"/>
                <w:szCs w:val="20"/>
              </w:rPr>
              <w:t xml:space="preserve">  y probabilidades) (</w:t>
            </w:r>
            <w:proofErr w:type="spellStart"/>
            <w:r w:rsidRPr="00682D3E">
              <w:rPr>
                <w:sz w:val="20"/>
                <w:szCs w:val="20"/>
              </w:rPr>
              <w:t>Wickens</w:t>
            </w:r>
            <w:proofErr w:type="spellEnd"/>
            <w:r w:rsidRPr="00682D3E">
              <w:rPr>
                <w:sz w:val="20"/>
                <w:szCs w:val="20"/>
              </w:rPr>
              <w:t xml:space="preserve">, 2002; </w:t>
            </w:r>
            <w:proofErr w:type="spellStart"/>
            <w:r w:rsidRPr="00682D3E">
              <w:rPr>
                <w:sz w:val="20"/>
                <w:szCs w:val="20"/>
              </w:rPr>
              <w:t>Ma</w:t>
            </w:r>
            <w:proofErr w:type="spellEnd"/>
            <w:r w:rsidRPr="00682D3E">
              <w:rPr>
                <w:sz w:val="20"/>
                <w:szCs w:val="20"/>
              </w:rPr>
              <w:t xml:space="preserve"> et al, 2012). Se asume que el sistema desarrollará una regla de elección, (i.e. ‘criterio’) (</w:t>
            </w:r>
            <w:proofErr w:type="spellStart"/>
            <w:r w:rsidRPr="00682D3E">
              <w:rPr>
                <w:sz w:val="20"/>
                <w:szCs w:val="20"/>
              </w:rPr>
              <w:t>Wickens</w:t>
            </w:r>
            <w:proofErr w:type="spellEnd"/>
            <w:r w:rsidRPr="00682D3E">
              <w:rPr>
                <w:sz w:val="20"/>
                <w:szCs w:val="20"/>
              </w:rPr>
              <w:t>, 2002).</w:t>
            </w:r>
          </w:p>
          <w:p w:rsidR="00682D3E" w:rsidRPr="00682D3E" w:rsidRDefault="00682D3E" w:rsidP="0053668C">
            <w:pPr>
              <w:jc w:val="both"/>
              <w:rPr>
                <w:sz w:val="20"/>
                <w:szCs w:val="20"/>
              </w:rPr>
            </w:pPr>
          </w:p>
          <w:p w:rsidR="0053668C" w:rsidRPr="00682D3E" w:rsidRDefault="0053668C" w:rsidP="0053668C">
            <w:pPr>
              <w:jc w:val="both"/>
              <w:rPr>
                <w:sz w:val="20"/>
                <w:szCs w:val="20"/>
              </w:rPr>
            </w:pPr>
            <w:r w:rsidRPr="00682D3E">
              <w:rPr>
                <w:sz w:val="20"/>
                <w:szCs w:val="20"/>
              </w:rPr>
              <w:t xml:space="preserve">De acuerdo con Lynn &amp; </w:t>
            </w:r>
            <w:proofErr w:type="spellStart"/>
            <w:r w:rsidRPr="00682D3E">
              <w:rPr>
                <w:sz w:val="20"/>
                <w:szCs w:val="20"/>
              </w:rPr>
              <w:t>Feldman</w:t>
            </w:r>
            <w:proofErr w:type="spellEnd"/>
            <w:r w:rsidRPr="00682D3E">
              <w:rPr>
                <w:sz w:val="20"/>
                <w:szCs w:val="20"/>
              </w:rPr>
              <w:t xml:space="preserve"> (2014), dicha distinción entre Sensibilidad y Sesgo omite la posible influencia de d’ sobre el Sesgo (c) como parte de las condiciones de la tarea. Sugieren que todo sistema que tienda a la optimización debería mostrar un mayor sesgo ante una mayor incertidumbre perceptual.  </w:t>
            </w:r>
          </w:p>
          <w:p w:rsidR="00682D3E" w:rsidRPr="00682D3E" w:rsidRDefault="00682D3E" w:rsidP="0053668C">
            <w:pPr>
              <w:jc w:val="both"/>
              <w:rPr>
                <w:sz w:val="20"/>
                <w:szCs w:val="20"/>
              </w:rPr>
            </w:pPr>
          </w:p>
          <w:p w:rsidR="0053668C" w:rsidRPr="00682D3E" w:rsidRDefault="0053668C" w:rsidP="0053668C">
            <w:pPr>
              <w:jc w:val="both"/>
              <w:rPr>
                <w:sz w:val="20"/>
                <w:szCs w:val="20"/>
              </w:rPr>
            </w:pPr>
            <w:r w:rsidRPr="00682D3E">
              <w:rPr>
                <w:sz w:val="20"/>
                <w:szCs w:val="20"/>
              </w:rPr>
              <w:t xml:space="preserve">La ilusión de </w:t>
            </w:r>
            <w:proofErr w:type="spellStart"/>
            <w:r w:rsidRPr="00682D3E">
              <w:rPr>
                <w:sz w:val="20"/>
                <w:szCs w:val="20"/>
              </w:rPr>
              <w:t>Ebbinghaus</w:t>
            </w:r>
            <w:proofErr w:type="spellEnd"/>
            <w:r w:rsidRPr="00682D3E">
              <w:rPr>
                <w:sz w:val="20"/>
                <w:szCs w:val="20"/>
              </w:rPr>
              <w:t xml:space="preserve"> refiere a un fallo en la estimación del tamaño subjetivo de un círculo cuando éste aparece rodeado por un conjunto de círculos uniformes, de mayor o menor tamaño. Se sabe que el juicio del tamaño subjetivo es una función del tamaño real del círculo interno y los externos, y que varía en intensidad proporcionalmente al número de círculos circundantes,  (</w:t>
            </w:r>
            <w:proofErr w:type="spellStart"/>
            <w:r w:rsidRPr="00682D3E">
              <w:rPr>
                <w:sz w:val="20"/>
                <w:szCs w:val="20"/>
              </w:rPr>
              <w:t>Massaro</w:t>
            </w:r>
            <w:proofErr w:type="spellEnd"/>
            <w:r w:rsidRPr="00682D3E">
              <w:rPr>
                <w:sz w:val="20"/>
                <w:szCs w:val="20"/>
              </w:rPr>
              <w:t xml:space="preserve"> y Anderson, 1971).</w:t>
            </w:r>
          </w:p>
          <w:p w:rsidR="0053668C" w:rsidRPr="00682D3E" w:rsidRDefault="0053668C" w:rsidP="00D06F02">
            <w:pPr>
              <w:jc w:val="both"/>
              <w:rPr>
                <w:sz w:val="20"/>
                <w:szCs w:val="20"/>
              </w:rPr>
            </w:pPr>
          </w:p>
        </w:tc>
        <w:tc>
          <w:tcPr>
            <w:tcW w:w="7218" w:type="dxa"/>
          </w:tcPr>
          <w:p w:rsidR="0053668C" w:rsidRPr="00682D3E" w:rsidRDefault="0053668C" w:rsidP="00D233FE">
            <w:pPr>
              <w:jc w:val="center"/>
              <w:rPr>
                <w:b/>
                <w:sz w:val="20"/>
                <w:szCs w:val="20"/>
              </w:rPr>
            </w:pPr>
            <w:r w:rsidRPr="00682D3E">
              <w:rPr>
                <w:b/>
                <w:sz w:val="20"/>
                <w:szCs w:val="20"/>
              </w:rPr>
              <w:t>Método</w:t>
            </w:r>
          </w:p>
          <w:p w:rsidR="0053668C" w:rsidRPr="00682D3E" w:rsidRDefault="0053668C" w:rsidP="00D233FE">
            <w:pPr>
              <w:rPr>
                <w:sz w:val="20"/>
                <w:szCs w:val="20"/>
              </w:rPr>
            </w:pPr>
          </w:p>
          <w:p w:rsidR="0053668C" w:rsidRPr="00682D3E" w:rsidRDefault="0053668C" w:rsidP="0053668C">
            <w:pPr>
              <w:jc w:val="both"/>
              <w:rPr>
                <w:sz w:val="20"/>
                <w:szCs w:val="20"/>
              </w:rPr>
            </w:pPr>
            <w:r w:rsidRPr="00682D3E">
              <w:rPr>
                <w:sz w:val="20"/>
                <w:szCs w:val="20"/>
              </w:rPr>
              <w:t>Señal:</w:t>
            </w:r>
          </w:p>
          <w:p w:rsidR="0053668C" w:rsidRPr="00682D3E" w:rsidRDefault="0053668C" w:rsidP="0053668C">
            <w:pPr>
              <w:jc w:val="both"/>
              <w:rPr>
                <w:sz w:val="20"/>
                <w:szCs w:val="20"/>
              </w:rPr>
            </w:pPr>
            <w:r w:rsidRPr="00682D3E">
              <w:rPr>
                <w:sz w:val="20"/>
                <w:szCs w:val="20"/>
              </w:rPr>
              <w:t xml:space="preserve">          Ensayos en que el círculo central de una figura de </w:t>
            </w:r>
            <w:proofErr w:type="spellStart"/>
            <w:r w:rsidRPr="00682D3E">
              <w:rPr>
                <w:sz w:val="20"/>
                <w:szCs w:val="20"/>
              </w:rPr>
              <w:t>Ebbinghaus</w:t>
            </w:r>
            <w:proofErr w:type="spellEnd"/>
            <w:r w:rsidRPr="00682D3E">
              <w:rPr>
                <w:sz w:val="20"/>
                <w:szCs w:val="20"/>
              </w:rPr>
              <w:t xml:space="preserve"> sea del mismo tamaño que un círculo de referencia.</w:t>
            </w:r>
          </w:p>
          <w:p w:rsidR="0053668C" w:rsidRPr="00682D3E" w:rsidRDefault="0053668C" w:rsidP="0053668C">
            <w:pPr>
              <w:jc w:val="both"/>
              <w:rPr>
                <w:sz w:val="20"/>
                <w:szCs w:val="20"/>
              </w:rPr>
            </w:pPr>
            <w:r w:rsidRPr="00682D3E">
              <w:rPr>
                <w:sz w:val="20"/>
                <w:szCs w:val="20"/>
              </w:rPr>
              <w:t>Estímulos y Ensayos</w:t>
            </w:r>
          </w:p>
          <w:p w:rsidR="00CA5B87" w:rsidRDefault="0053668C" w:rsidP="0053668C">
            <w:pPr>
              <w:jc w:val="both"/>
              <w:rPr>
                <w:sz w:val="20"/>
                <w:szCs w:val="20"/>
              </w:rPr>
            </w:pPr>
            <w:r w:rsidRPr="00682D3E">
              <w:rPr>
                <w:sz w:val="20"/>
                <w:szCs w:val="20"/>
              </w:rPr>
              <w:t xml:space="preserve">        &gt;  30 es</w:t>
            </w:r>
            <w:r w:rsidR="00CA5B87">
              <w:rPr>
                <w:sz w:val="20"/>
                <w:szCs w:val="20"/>
              </w:rPr>
              <w:t xml:space="preserve">tímulos diferentes             </w:t>
            </w:r>
          </w:p>
          <w:p w:rsidR="0053668C" w:rsidRPr="00682D3E" w:rsidRDefault="0053668C" w:rsidP="0053668C">
            <w:pPr>
              <w:jc w:val="both"/>
              <w:rPr>
                <w:sz w:val="20"/>
                <w:szCs w:val="20"/>
              </w:rPr>
            </w:pPr>
            <w:r w:rsidRPr="00682D3E">
              <w:rPr>
                <w:sz w:val="20"/>
                <w:szCs w:val="20"/>
              </w:rPr>
              <w:t xml:space="preserve">              &gt; 5 tamaños distintos de círculo central</w:t>
            </w:r>
          </w:p>
          <w:p w:rsidR="0053668C" w:rsidRPr="00682D3E" w:rsidRDefault="0053668C" w:rsidP="0053668C">
            <w:pPr>
              <w:jc w:val="both"/>
              <w:rPr>
                <w:sz w:val="20"/>
                <w:szCs w:val="20"/>
              </w:rPr>
            </w:pPr>
            <w:r w:rsidRPr="00682D3E">
              <w:rPr>
                <w:sz w:val="20"/>
                <w:szCs w:val="20"/>
              </w:rPr>
              <w:t xml:space="preserve">              &gt; 3 niveles de  ‘Número de círculos externos’ </w:t>
            </w:r>
          </w:p>
          <w:p w:rsidR="0053668C" w:rsidRPr="00682D3E" w:rsidRDefault="0053668C" w:rsidP="0053668C">
            <w:pPr>
              <w:jc w:val="both"/>
              <w:rPr>
                <w:sz w:val="20"/>
                <w:szCs w:val="20"/>
              </w:rPr>
            </w:pPr>
            <w:r w:rsidRPr="00682D3E">
              <w:rPr>
                <w:sz w:val="20"/>
                <w:szCs w:val="20"/>
              </w:rPr>
              <w:t xml:space="preserve">              &gt; 2 niveles del tamaño de círculo externo</w:t>
            </w:r>
          </w:p>
          <w:p w:rsidR="0053668C" w:rsidRPr="00682D3E" w:rsidRDefault="0053668C" w:rsidP="0053668C">
            <w:pPr>
              <w:jc w:val="both"/>
              <w:rPr>
                <w:sz w:val="20"/>
                <w:szCs w:val="20"/>
              </w:rPr>
            </w:pPr>
            <w:r w:rsidRPr="00682D3E">
              <w:rPr>
                <w:sz w:val="20"/>
                <w:szCs w:val="20"/>
              </w:rPr>
              <w:t xml:space="preserve">        &gt; 7 repeticiones</w:t>
            </w:r>
          </w:p>
          <w:p w:rsidR="0053668C" w:rsidRPr="00682D3E" w:rsidRDefault="0053668C" w:rsidP="0053668C">
            <w:pPr>
              <w:jc w:val="both"/>
              <w:rPr>
                <w:sz w:val="20"/>
                <w:szCs w:val="20"/>
              </w:rPr>
            </w:pPr>
            <w:r w:rsidRPr="00682D3E">
              <w:rPr>
                <w:sz w:val="20"/>
                <w:szCs w:val="20"/>
              </w:rPr>
              <w:t xml:space="preserve">              &gt; 336 ensayos</w:t>
            </w:r>
          </w:p>
          <w:p w:rsidR="0053668C" w:rsidRPr="00682D3E" w:rsidRDefault="0053668C" w:rsidP="0053668C">
            <w:pPr>
              <w:jc w:val="both"/>
              <w:rPr>
                <w:sz w:val="20"/>
                <w:szCs w:val="20"/>
              </w:rPr>
            </w:pPr>
            <w:r w:rsidRPr="00682D3E">
              <w:rPr>
                <w:sz w:val="20"/>
                <w:szCs w:val="20"/>
              </w:rPr>
              <w:t>Controles:</w:t>
            </w:r>
          </w:p>
          <w:p w:rsidR="0053668C" w:rsidRPr="00682D3E" w:rsidRDefault="0053668C" w:rsidP="0053668C">
            <w:pPr>
              <w:jc w:val="both"/>
              <w:rPr>
                <w:sz w:val="20"/>
                <w:szCs w:val="20"/>
              </w:rPr>
            </w:pPr>
            <w:r w:rsidRPr="00682D3E">
              <w:rPr>
                <w:sz w:val="20"/>
                <w:szCs w:val="20"/>
              </w:rPr>
              <w:t xml:space="preserve">          Contrabalanceo en el orden de presentación.</w:t>
            </w:r>
          </w:p>
          <w:p w:rsidR="0053668C" w:rsidRPr="00682D3E" w:rsidRDefault="0053668C" w:rsidP="0053668C">
            <w:pPr>
              <w:jc w:val="both"/>
              <w:rPr>
                <w:sz w:val="20"/>
                <w:szCs w:val="20"/>
              </w:rPr>
            </w:pPr>
            <w:r w:rsidRPr="00682D3E">
              <w:rPr>
                <w:sz w:val="20"/>
                <w:szCs w:val="20"/>
              </w:rPr>
              <w:t>Fases:</w:t>
            </w:r>
          </w:p>
          <w:p w:rsidR="0053668C" w:rsidRPr="00682D3E" w:rsidRDefault="0053668C" w:rsidP="0053668C">
            <w:pPr>
              <w:jc w:val="both"/>
              <w:rPr>
                <w:sz w:val="20"/>
                <w:szCs w:val="20"/>
              </w:rPr>
            </w:pPr>
            <w:r w:rsidRPr="00682D3E">
              <w:rPr>
                <w:sz w:val="20"/>
                <w:szCs w:val="20"/>
              </w:rPr>
              <w:t xml:space="preserve">          Entrenamiento &gt;   336 ensayos libres </w:t>
            </w:r>
          </w:p>
          <w:p w:rsidR="0053668C" w:rsidRPr="00682D3E" w:rsidRDefault="0053668C" w:rsidP="0053668C">
            <w:pPr>
              <w:jc w:val="both"/>
              <w:rPr>
                <w:sz w:val="20"/>
                <w:szCs w:val="20"/>
              </w:rPr>
            </w:pPr>
            <w:r w:rsidRPr="00682D3E">
              <w:rPr>
                <w:sz w:val="20"/>
                <w:szCs w:val="20"/>
              </w:rPr>
              <w:t xml:space="preserve">          Prueba - - - - -  -&gt; 336 ensayos + Castigo a F.A</w:t>
            </w:r>
          </w:p>
          <w:p w:rsidR="0053668C" w:rsidRPr="00682D3E" w:rsidRDefault="0053668C" w:rsidP="0053668C">
            <w:pPr>
              <w:jc w:val="both"/>
              <w:rPr>
                <w:sz w:val="20"/>
                <w:szCs w:val="20"/>
              </w:rPr>
            </w:pPr>
            <w:r w:rsidRPr="00682D3E">
              <w:rPr>
                <w:sz w:val="20"/>
                <w:szCs w:val="20"/>
              </w:rPr>
              <w:t>Condiciones</w:t>
            </w:r>
          </w:p>
          <w:p w:rsidR="0053668C" w:rsidRPr="00682D3E" w:rsidRDefault="0053668C" w:rsidP="0053668C">
            <w:pPr>
              <w:jc w:val="both"/>
              <w:rPr>
                <w:sz w:val="20"/>
                <w:szCs w:val="20"/>
              </w:rPr>
            </w:pPr>
            <w:r w:rsidRPr="00682D3E">
              <w:rPr>
                <w:sz w:val="20"/>
                <w:szCs w:val="20"/>
              </w:rPr>
              <w:t xml:space="preserve">           Muchos círculos externos (6, 7 y 8) </w:t>
            </w:r>
          </w:p>
          <w:p w:rsidR="00D06F02" w:rsidRPr="00682D3E" w:rsidRDefault="0053668C" w:rsidP="00D06F02">
            <w:pPr>
              <w:jc w:val="both"/>
              <w:rPr>
                <w:sz w:val="20"/>
                <w:szCs w:val="20"/>
              </w:rPr>
            </w:pPr>
            <w:r w:rsidRPr="00682D3E">
              <w:rPr>
                <w:sz w:val="20"/>
                <w:szCs w:val="20"/>
              </w:rPr>
              <w:t xml:space="preserve">           Pocos círculos externos  (2, 3 y 4)</w:t>
            </w:r>
          </w:p>
        </w:tc>
      </w:tr>
      <w:tr w:rsidR="0053668C" w:rsidRPr="00682D3E" w:rsidTr="00D233FE">
        <w:trPr>
          <w:trHeight w:val="540"/>
        </w:trPr>
        <w:tc>
          <w:tcPr>
            <w:tcW w:w="7217" w:type="dxa"/>
          </w:tcPr>
          <w:p w:rsidR="0053668C" w:rsidRPr="00682D3E" w:rsidRDefault="0053668C" w:rsidP="00D06F02">
            <w:pPr>
              <w:jc w:val="center"/>
              <w:rPr>
                <w:b/>
                <w:sz w:val="20"/>
                <w:szCs w:val="20"/>
              </w:rPr>
            </w:pPr>
            <w:r w:rsidRPr="00682D3E">
              <w:rPr>
                <w:b/>
                <w:sz w:val="20"/>
                <w:szCs w:val="20"/>
              </w:rPr>
              <w:t>Resultados</w:t>
            </w:r>
          </w:p>
          <w:p w:rsidR="00D06F02" w:rsidRPr="00682D3E" w:rsidRDefault="00D06F02" w:rsidP="00AD4BCC">
            <w:pPr>
              <w:jc w:val="center"/>
              <w:rPr>
                <w:sz w:val="20"/>
                <w:szCs w:val="20"/>
              </w:rPr>
            </w:pPr>
            <w:r w:rsidRPr="00682D3E">
              <w:rPr>
                <w:sz w:val="20"/>
                <w:szCs w:val="20"/>
              </w:rPr>
              <w:object w:dxaOrig="11745" w:dyaOrig="6315">
                <v:shape id="_x0000_i1038" type="#_x0000_t75" style="width:332.15pt;height:178.65pt" o:ole="">
                  <v:imagedata r:id="rId10" o:title=""/>
                </v:shape>
                <o:OLEObject Type="Embed" ProgID="PBrush" ShapeID="_x0000_i1038" DrawAspect="Content" ObjectID="_1509286508" r:id="rId11"/>
              </w:object>
            </w:r>
          </w:p>
        </w:tc>
        <w:tc>
          <w:tcPr>
            <w:tcW w:w="7218" w:type="dxa"/>
          </w:tcPr>
          <w:p w:rsidR="0053668C" w:rsidRPr="00682D3E" w:rsidRDefault="00D06F02" w:rsidP="00AD4BCC">
            <w:pPr>
              <w:jc w:val="center"/>
              <w:rPr>
                <w:b/>
                <w:sz w:val="20"/>
                <w:szCs w:val="20"/>
              </w:rPr>
            </w:pPr>
            <w:r w:rsidRPr="00682D3E">
              <w:rPr>
                <w:b/>
                <w:sz w:val="20"/>
                <w:szCs w:val="20"/>
              </w:rPr>
              <w:t>Discusión</w:t>
            </w:r>
          </w:p>
          <w:p w:rsidR="0053668C" w:rsidRPr="00682D3E" w:rsidRDefault="00AD4BCC" w:rsidP="00AD4BCC">
            <w:pPr>
              <w:jc w:val="both"/>
              <w:rPr>
                <w:sz w:val="20"/>
                <w:szCs w:val="20"/>
              </w:rPr>
            </w:pPr>
            <w:r w:rsidRPr="00682D3E">
              <w:rPr>
                <w:sz w:val="20"/>
                <w:szCs w:val="20"/>
              </w:rPr>
              <w:t>De acuerdo a los datos obtenidos, los valores de d’ estimados para cada participante distinguen de manera consistente con la literatura, los dos niveles de dificultad propuestos para la tarea.</w:t>
            </w:r>
          </w:p>
          <w:p w:rsidR="00AD4BCC" w:rsidRPr="00682D3E" w:rsidRDefault="00AD4BCC" w:rsidP="00AD4BCC">
            <w:pPr>
              <w:jc w:val="both"/>
              <w:rPr>
                <w:sz w:val="20"/>
                <w:szCs w:val="20"/>
              </w:rPr>
            </w:pPr>
          </w:p>
          <w:p w:rsidR="00AD4BCC" w:rsidRDefault="00AD4BCC" w:rsidP="00AD4BCC">
            <w:pPr>
              <w:jc w:val="both"/>
              <w:rPr>
                <w:sz w:val="20"/>
                <w:szCs w:val="20"/>
              </w:rPr>
            </w:pPr>
            <w:r w:rsidRPr="00682D3E">
              <w:rPr>
                <w:sz w:val="20"/>
                <w:szCs w:val="20"/>
              </w:rPr>
              <w:t>Una vez estipulada esta relación, se hizo una comparación entre los valores de sesgo C entre cada uno de estos niveles de d’ por participante, sin observar ninguna tendencia sistemática en la distribución de los datos.</w:t>
            </w:r>
          </w:p>
          <w:p w:rsidR="00757D53" w:rsidRDefault="00757D53" w:rsidP="00AD4BCC">
            <w:pPr>
              <w:jc w:val="both"/>
              <w:rPr>
                <w:sz w:val="20"/>
                <w:szCs w:val="20"/>
              </w:rPr>
            </w:pPr>
          </w:p>
          <w:p w:rsidR="00CA5B87" w:rsidRPr="00682D3E" w:rsidRDefault="00757D53" w:rsidP="00AD4BCC">
            <w:pPr>
              <w:jc w:val="both"/>
              <w:rPr>
                <w:sz w:val="20"/>
                <w:szCs w:val="20"/>
              </w:rPr>
            </w:pPr>
            <w:r>
              <w:rPr>
                <w:sz w:val="20"/>
                <w:szCs w:val="20"/>
              </w:rPr>
              <w:t xml:space="preserve">Para un mejor entendimiento de esta falta de relación, se analizaron los cambios en d’ y c por cada sujeto entre la fase de entrenamiento y la fase de prueba. </w:t>
            </w:r>
            <w:r w:rsidR="00CA5B87">
              <w:rPr>
                <w:sz w:val="20"/>
                <w:szCs w:val="20"/>
              </w:rPr>
              <w:t>Se observó un incremento sistemático en los valores tanto de d’ como de c, siendo éstos particularmente significativos en el caso de d’.  Dicho cambio en la ejecución de los participantes sugiere que el uso de una ilusión óptica podría estar fomentando que, en vez de simplemente mover su criterio para maximizar su utilidad, los participantes están ampliando la distancia entre las distribuciones de ruido y señal para maximizar su precisión.</w:t>
            </w:r>
          </w:p>
        </w:tc>
      </w:tr>
      <w:tr w:rsidR="0053668C" w:rsidRPr="00682D3E" w:rsidTr="00D233FE">
        <w:trPr>
          <w:trHeight w:val="540"/>
        </w:trPr>
        <w:tc>
          <w:tcPr>
            <w:tcW w:w="14435" w:type="dxa"/>
            <w:gridSpan w:val="2"/>
          </w:tcPr>
          <w:p w:rsidR="00D06F02" w:rsidRPr="00682D3E" w:rsidRDefault="00D06F02" w:rsidP="00D06F02">
            <w:pPr>
              <w:jc w:val="center"/>
              <w:rPr>
                <w:b/>
                <w:sz w:val="20"/>
                <w:szCs w:val="20"/>
              </w:rPr>
            </w:pPr>
            <w:r w:rsidRPr="00682D3E">
              <w:rPr>
                <w:b/>
                <w:sz w:val="20"/>
                <w:szCs w:val="20"/>
              </w:rPr>
              <w:t>REFERENCIA</w:t>
            </w:r>
          </w:p>
          <w:p w:rsidR="0053668C" w:rsidRPr="00682D3E" w:rsidRDefault="00D06F02" w:rsidP="00D06F02">
            <w:pPr>
              <w:jc w:val="center"/>
              <w:rPr>
                <w:sz w:val="20"/>
                <w:szCs w:val="20"/>
              </w:rPr>
            </w:pPr>
            <w:r w:rsidRPr="00682D3E">
              <w:rPr>
                <w:sz w:val="20"/>
                <w:szCs w:val="20"/>
              </w:rPr>
              <w:t xml:space="preserve">“Discriminabilidad como fuente de sesgo en una tarea de detección de señales usando la figura de </w:t>
            </w:r>
            <w:proofErr w:type="spellStart"/>
            <w:r w:rsidRPr="00682D3E">
              <w:rPr>
                <w:sz w:val="20"/>
                <w:szCs w:val="20"/>
              </w:rPr>
              <w:t>Ebbinghaus</w:t>
            </w:r>
            <w:proofErr w:type="spellEnd"/>
            <w:r w:rsidRPr="00682D3E">
              <w:rPr>
                <w:sz w:val="20"/>
                <w:szCs w:val="20"/>
              </w:rPr>
              <w:t>” – Chávez, F. Noviembre, 2015</w:t>
            </w:r>
            <w:r w:rsidR="0053668C" w:rsidRPr="00682D3E">
              <w:rPr>
                <w:sz w:val="20"/>
                <w:szCs w:val="20"/>
              </w:rPr>
              <w:t xml:space="preserve"> </w:t>
            </w:r>
            <w:r w:rsidRPr="00682D3E">
              <w:rPr>
                <w:sz w:val="20"/>
                <w:szCs w:val="20"/>
              </w:rPr>
              <w:t>SINCA V</w:t>
            </w:r>
          </w:p>
          <w:p w:rsidR="00D233FE" w:rsidRPr="00682D3E" w:rsidRDefault="00D233FE" w:rsidP="00682D3E">
            <w:pPr>
              <w:numPr>
                <w:ilvl w:val="0"/>
                <w:numId w:val="1"/>
              </w:numPr>
              <w:rPr>
                <w:sz w:val="20"/>
                <w:szCs w:val="20"/>
                <w:lang w:val="en-US"/>
              </w:rPr>
            </w:pPr>
            <w:r w:rsidRPr="00682D3E">
              <w:rPr>
                <w:sz w:val="20"/>
                <w:szCs w:val="20"/>
                <w:lang w:val="en-US"/>
              </w:rPr>
              <w:t>Lynn, S. &amp; Feldman, L. (2014). Utilizing Signal Detection Theory.</w:t>
            </w:r>
          </w:p>
          <w:p w:rsidR="00D233FE" w:rsidRPr="00682D3E" w:rsidRDefault="00D233FE" w:rsidP="00682D3E">
            <w:pPr>
              <w:numPr>
                <w:ilvl w:val="0"/>
                <w:numId w:val="1"/>
              </w:numPr>
              <w:rPr>
                <w:sz w:val="20"/>
                <w:szCs w:val="20"/>
                <w:lang w:val="en-US"/>
              </w:rPr>
            </w:pPr>
            <w:r w:rsidRPr="00682D3E">
              <w:rPr>
                <w:sz w:val="20"/>
                <w:szCs w:val="20"/>
                <w:lang w:val="en-US"/>
              </w:rPr>
              <w:t xml:space="preserve">Ma, W., </w:t>
            </w:r>
            <w:proofErr w:type="spellStart"/>
            <w:r w:rsidRPr="00682D3E">
              <w:rPr>
                <w:sz w:val="20"/>
                <w:szCs w:val="20"/>
                <w:lang w:val="en-US"/>
              </w:rPr>
              <w:t>Kording</w:t>
            </w:r>
            <w:proofErr w:type="spellEnd"/>
            <w:r w:rsidRPr="00682D3E">
              <w:rPr>
                <w:sz w:val="20"/>
                <w:szCs w:val="20"/>
                <w:lang w:val="en-US"/>
              </w:rPr>
              <w:t xml:space="preserve">, K., </w:t>
            </w:r>
            <w:proofErr w:type="spellStart"/>
            <w:r w:rsidRPr="00682D3E">
              <w:rPr>
                <w:sz w:val="20"/>
                <w:szCs w:val="20"/>
                <w:lang w:val="en-US"/>
              </w:rPr>
              <w:t>Goldreich</w:t>
            </w:r>
            <w:proofErr w:type="spellEnd"/>
            <w:r w:rsidRPr="00682D3E">
              <w:rPr>
                <w:sz w:val="20"/>
                <w:szCs w:val="20"/>
                <w:lang w:val="en-US"/>
              </w:rPr>
              <w:t>, D.(2012) Bayesian Modeling of Perception</w:t>
            </w:r>
          </w:p>
          <w:p w:rsidR="00D233FE" w:rsidRPr="00682D3E" w:rsidRDefault="00D233FE" w:rsidP="00682D3E">
            <w:pPr>
              <w:numPr>
                <w:ilvl w:val="0"/>
                <w:numId w:val="1"/>
              </w:numPr>
              <w:rPr>
                <w:sz w:val="20"/>
                <w:szCs w:val="20"/>
              </w:rPr>
            </w:pPr>
            <w:r w:rsidRPr="00682D3E">
              <w:rPr>
                <w:sz w:val="20"/>
                <w:szCs w:val="20"/>
                <w:lang w:val="en-US"/>
              </w:rPr>
              <w:t>Ma, W. (2012). Organizing probabilistic models of perception. Cell press.</w:t>
            </w:r>
          </w:p>
          <w:p w:rsidR="00D233FE" w:rsidRPr="00682D3E" w:rsidRDefault="00D233FE" w:rsidP="00682D3E">
            <w:pPr>
              <w:numPr>
                <w:ilvl w:val="0"/>
                <w:numId w:val="1"/>
              </w:numPr>
              <w:rPr>
                <w:sz w:val="20"/>
                <w:szCs w:val="20"/>
                <w:lang w:val="en-US"/>
              </w:rPr>
            </w:pPr>
            <w:proofErr w:type="spellStart"/>
            <w:r w:rsidRPr="00682D3E">
              <w:rPr>
                <w:sz w:val="20"/>
                <w:szCs w:val="20"/>
                <w:lang w:val="en-US"/>
              </w:rPr>
              <w:t>Masssaro</w:t>
            </w:r>
            <w:proofErr w:type="spellEnd"/>
            <w:r w:rsidRPr="00682D3E">
              <w:rPr>
                <w:sz w:val="20"/>
                <w:szCs w:val="20"/>
                <w:lang w:val="en-US"/>
              </w:rPr>
              <w:t xml:space="preserve">, D., Anderson, N., (1971) </w:t>
            </w:r>
            <w:proofErr w:type="spellStart"/>
            <w:r w:rsidRPr="00682D3E">
              <w:rPr>
                <w:sz w:val="20"/>
                <w:szCs w:val="20"/>
                <w:lang w:val="en-US"/>
              </w:rPr>
              <w:t>Judmental</w:t>
            </w:r>
            <w:proofErr w:type="spellEnd"/>
            <w:r w:rsidRPr="00682D3E">
              <w:rPr>
                <w:sz w:val="20"/>
                <w:szCs w:val="20"/>
                <w:lang w:val="en-US"/>
              </w:rPr>
              <w:t xml:space="preserve"> model on the </w:t>
            </w:r>
            <w:proofErr w:type="spellStart"/>
            <w:r w:rsidRPr="00682D3E">
              <w:rPr>
                <w:sz w:val="20"/>
                <w:szCs w:val="20"/>
                <w:lang w:val="en-US"/>
              </w:rPr>
              <w:t>Ebbinghaus</w:t>
            </w:r>
            <w:proofErr w:type="spellEnd"/>
            <w:r w:rsidRPr="00682D3E">
              <w:rPr>
                <w:sz w:val="20"/>
                <w:szCs w:val="20"/>
                <w:lang w:val="en-US"/>
              </w:rPr>
              <w:t xml:space="preserve"> Illusion.  </w:t>
            </w:r>
          </w:p>
          <w:p w:rsidR="00682D3E" w:rsidRPr="00682D3E" w:rsidRDefault="00D233FE" w:rsidP="00CA5B87">
            <w:pPr>
              <w:numPr>
                <w:ilvl w:val="0"/>
                <w:numId w:val="1"/>
              </w:numPr>
              <w:rPr>
                <w:sz w:val="20"/>
                <w:szCs w:val="20"/>
                <w:lang w:val="en-US"/>
              </w:rPr>
            </w:pPr>
            <w:proofErr w:type="spellStart"/>
            <w:r w:rsidRPr="00682D3E">
              <w:rPr>
                <w:sz w:val="20"/>
                <w:szCs w:val="20"/>
                <w:lang w:val="en-US"/>
              </w:rPr>
              <w:t>Wickens</w:t>
            </w:r>
            <w:proofErr w:type="spellEnd"/>
            <w:r w:rsidRPr="00682D3E">
              <w:rPr>
                <w:sz w:val="20"/>
                <w:szCs w:val="20"/>
                <w:lang w:val="en-US"/>
              </w:rPr>
              <w:t xml:space="preserve">, T. (2002) Elementary Signal Detection Theory. </w:t>
            </w:r>
          </w:p>
        </w:tc>
      </w:tr>
    </w:tbl>
    <w:p w:rsidR="0053668C" w:rsidRPr="00682D3E" w:rsidRDefault="0053668C" w:rsidP="0079543E">
      <w:pPr>
        <w:rPr>
          <w:lang w:val="en-US"/>
        </w:rPr>
      </w:pPr>
    </w:p>
    <w:sectPr w:rsidR="0053668C" w:rsidRPr="00682D3E" w:rsidSect="00036515">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3FE" w:rsidRDefault="00D233FE" w:rsidP="00810361">
      <w:pPr>
        <w:spacing w:after="0" w:line="240" w:lineRule="auto"/>
      </w:pPr>
      <w:r>
        <w:separator/>
      </w:r>
    </w:p>
  </w:endnote>
  <w:endnote w:type="continuationSeparator" w:id="0">
    <w:p w:rsidR="00D233FE" w:rsidRDefault="00D233FE" w:rsidP="00810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3FE" w:rsidRDefault="00D233FE" w:rsidP="00810361">
      <w:pPr>
        <w:spacing w:after="0" w:line="240" w:lineRule="auto"/>
      </w:pPr>
      <w:r>
        <w:separator/>
      </w:r>
    </w:p>
  </w:footnote>
  <w:footnote w:type="continuationSeparator" w:id="0">
    <w:p w:rsidR="00D233FE" w:rsidRDefault="00D233FE" w:rsidP="00810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CB5794"/>
    <w:multiLevelType w:val="hybridMultilevel"/>
    <w:tmpl w:val="36F83046"/>
    <w:lvl w:ilvl="0" w:tplc="4636DE72">
      <w:start w:val="1"/>
      <w:numFmt w:val="bullet"/>
      <w:lvlText w:val="•"/>
      <w:lvlJc w:val="left"/>
      <w:pPr>
        <w:tabs>
          <w:tab w:val="num" w:pos="720"/>
        </w:tabs>
        <w:ind w:left="720" w:hanging="360"/>
      </w:pPr>
      <w:rPr>
        <w:rFonts w:ascii="Arial" w:hAnsi="Arial" w:hint="default"/>
      </w:rPr>
    </w:lvl>
    <w:lvl w:ilvl="1" w:tplc="3F423B96" w:tentative="1">
      <w:start w:val="1"/>
      <w:numFmt w:val="bullet"/>
      <w:lvlText w:val="•"/>
      <w:lvlJc w:val="left"/>
      <w:pPr>
        <w:tabs>
          <w:tab w:val="num" w:pos="1440"/>
        </w:tabs>
        <w:ind w:left="1440" w:hanging="360"/>
      </w:pPr>
      <w:rPr>
        <w:rFonts w:ascii="Arial" w:hAnsi="Arial" w:hint="default"/>
      </w:rPr>
    </w:lvl>
    <w:lvl w:ilvl="2" w:tplc="424A8B8C" w:tentative="1">
      <w:start w:val="1"/>
      <w:numFmt w:val="bullet"/>
      <w:lvlText w:val="•"/>
      <w:lvlJc w:val="left"/>
      <w:pPr>
        <w:tabs>
          <w:tab w:val="num" w:pos="2160"/>
        </w:tabs>
        <w:ind w:left="2160" w:hanging="360"/>
      </w:pPr>
      <w:rPr>
        <w:rFonts w:ascii="Arial" w:hAnsi="Arial" w:hint="default"/>
      </w:rPr>
    </w:lvl>
    <w:lvl w:ilvl="3" w:tplc="13B68C2E" w:tentative="1">
      <w:start w:val="1"/>
      <w:numFmt w:val="bullet"/>
      <w:lvlText w:val="•"/>
      <w:lvlJc w:val="left"/>
      <w:pPr>
        <w:tabs>
          <w:tab w:val="num" w:pos="2880"/>
        </w:tabs>
        <w:ind w:left="2880" w:hanging="360"/>
      </w:pPr>
      <w:rPr>
        <w:rFonts w:ascii="Arial" w:hAnsi="Arial" w:hint="default"/>
      </w:rPr>
    </w:lvl>
    <w:lvl w:ilvl="4" w:tplc="5B2AED54" w:tentative="1">
      <w:start w:val="1"/>
      <w:numFmt w:val="bullet"/>
      <w:lvlText w:val="•"/>
      <w:lvlJc w:val="left"/>
      <w:pPr>
        <w:tabs>
          <w:tab w:val="num" w:pos="3600"/>
        </w:tabs>
        <w:ind w:left="3600" w:hanging="360"/>
      </w:pPr>
      <w:rPr>
        <w:rFonts w:ascii="Arial" w:hAnsi="Arial" w:hint="default"/>
      </w:rPr>
    </w:lvl>
    <w:lvl w:ilvl="5" w:tplc="314EDED8" w:tentative="1">
      <w:start w:val="1"/>
      <w:numFmt w:val="bullet"/>
      <w:lvlText w:val="•"/>
      <w:lvlJc w:val="left"/>
      <w:pPr>
        <w:tabs>
          <w:tab w:val="num" w:pos="4320"/>
        </w:tabs>
        <w:ind w:left="4320" w:hanging="360"/>
      </w:pPr>
      <w:rPr>
        <w:rFonts w:ascii="Arial" w:hAnsi="Arial" w:hint="default"/>
      </w:rPr>
    </w:lvl>
    <w:lvl w:ilvl="6" w:tplc="C616EA66" w:tentative="1">
      <w:start w:val="1"/>
      <w:numFmt w:val="bullet"/>
      <w:lvlText w:val="•"/>
      <w:lvlJc w:val="left"/>
      <w:pPr>
        <w:tabs>
          <w:tab w:val="num" w:pos="5040"/>
        </w:tabs>
        <w:ind w:left="5040" w:hanging="360"/>
      </w:pPr>
      <w:rPr>
        <w:rFonts w:ascii="Arial" w:hAnsi="Arial" w:hint="default"/>
      </w:rPr>
    </w:lvl>
    <w:lvl w:ilvl="7" w:tplc="ED7C41AE" w:tentative="1">
      <w:start w:val="1"/>
      <w:numFmt w:val="bullet"/>
      <w:lvlText w:val="•"/>
      <w:lvlJc w:val="left"/>
      <w:pPr>
        <w:tabs>
          <w:tab w:val="num" w:pos="5760"/>
        </w:tabs>
        <w:ind w:left="5760" w:hanging="360"/>
      </w:pPr>
      <w:rPr>
        <w:rFonts w:ascii="Arial" w:hAnsi="Arial" w:hint="default"/>
      </w:rPr>
    </w:lvl>
    <w:lvl w:ilvl="8" w:tplc="31B426C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361"/>
    <w:rsid w:val="00036515"/>
    <w:rsid w:val="000C29E4"/>
    <w:rsid w:val="00135AA1"/>
    <w:rsid w:val="001F2013"/>
    <w:rsid w:val="00213A28"/>
    <w:rsid w:val="002D1D02"/>
    <w:rsid w:val="00310D64"/>
    <w:rsid w:val="00424076"/>
    <w:rsid w:val="00426A24"/>
    <w:rsid w:val="00467CB2"/>
    <w:rsid w:val="00481376"/>
    <w:rsid w:val="004E7A67"/>
    <w:rsid w:val="0053668C"/>
    <w:rsid w:val="00680DBE"/>
    <w:rsid w:val="00682D3E"/>
    <w:rsid w:val="00683567"/>
    <w:rsid w:val="00757D53"/>
    <w:rsid w:val="0079543E"/>
    <w:rsid w:val="00796752"/>
    <w:rsid w:val="00810361"/>
    <w:rsid w:val="00835F5D"/>
    <w:rsid w:val="00852A56"/>
    <w:rsid w:val="008B1433"/>
    <w:rsid w:val="008B6C9E"/>
    <w:rsid w:val="008D78D6"/>
    <w:rsid w:val="00925B4F"/>
    <w:rsid w:val="00926691"/>
    <w:rsid w:val="009B4C85"/>
    <w:rsid w:val="009F2149"/>
    <w:rsid w:val="00A5378F"/>
    <w:rsid w:val="00AD4BCC"/>
    <w:rsid w:val="00B332AC"/>
    <w:rsid w:val="00CA5B87"/>
    <w:rsid w:val="00D06F02"/>
    <w:rsid w:val="00D233FE"/>
    <w:rsid w:val="00DB49FA"/>
    <w:rsid w:val="00DD278A"/>
    <w:rsid w:val="00E92F69"/>
    <w:rsid w:val="00EE6C34"/>
    <w:rsid w:val="00FB6358"/>
    <w:rsid w:val="00FC1A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361"/>
  </w:style>
  <w:style w:type="paragraph" w:styleId="Piedepgina">
    <w:name w:val="footer"/>
    <w:basedOn w:val="Normal"/>
    <w:link w:val="PiedepginaCar"/>
    <w:uiPriority w:val="99"/>
    <w:unhideWhenUsed/>
    <w:rsid w:val="00810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361"/>
  </w:style>
  <w:style w:type="table" w:styleId="Tablaconcuadrcula">
    <w:name w:val="Table Grid"/>
    <w:basedOn w:val="Tablanormal"/>
    <w:uiPriority w:val="39"/>
    <w:rsid w:val="0081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103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361"/>
  </w:style>
  <w:style w:type="paragraph" w:styleId="Piedepgina">
    <w:name w:val="footer"/>
    <w:basedOn w:val="Normal"/>
    <w:link w:val="PiedepginaCar"/>
    <w:uiPriority w:val="99"/>
    <w:unhideWhenUsed/>
    <w:rsid w:val="008103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361"/>
  </w:style>
  <w:style w:type="table" w:styleId="Tablaconcuadrcula">
    <w:name w:val="Table Grid"/>
    <w:basedOn w:val="Tablanormal"/>
    <w:uiPriority w:val="39"/>
    <w:rsid w:val="008103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7378">
      <w:bodyDiv w:val="1"/>
      <w:marLeft w:val="0"/>
      <w:marRight w:val="0"/>
      <w:marTop w:val="0"/>
      <w:marBottom w:val="0"/>
      <w:divBdr>
        <w:top w:val="none" w:sz="0" w:space="0" w:color="auto"/>
        <w:left w:val="none" w:sz="0" w:space="0" w:color="auto"/>
        <w:bottom w:val="none" w:sz="0" w:space="0" w:color="auto"/>
        <w:right w:val="none" w:sz="0" w:space="0" w:color="auto"/>
      </w:divBdr>
    </w:div>
    <w:div w:id="855850292">
      <w:bodyDiv w:val="1"/>
      <w:marLeft w:val="0"/>
      <w:marRight w:val="0"/>
      <w:marTop w:val="0"/>
      <w:marBottom w:val="0"/>
      <w:divBdr>
        <w:top w:val="none" w:sz="0" w:space="0" w:color="auto"/>
        <w:left w:val="none" w:sz="0" w:space="0" w:color="auto"/>
        <w:bottom w:val="none" w:sz="0" w:space="0" w:color="auto"/>
        <w:right w:val="none" w:sz="0" w:space="0" w:color="auto"/>
      </w:divBdr>
      <w:divsChild>
        <w:div w:id="489492167">
          <w:marLeft w:val="720"/>
          <w:marRight w:val="0"/>
          <w:marTop w:val="0"/>
          <w:marBottom w:val="0"/>
          <w:divBdr>
            <w:top w:val="none" w:sz="0" w:space="0" w:color="auto"/>
            <w:left w:val="none" w:sz="0" w:space="0" w:color="auto"/>
            <w:bottom w:val="none" w:sz="0" w:space="0" w:color="auto"/>
            <w:right w:val="none" w:sz="0" w:space="0" w:color="auto"/>
          </w:divBdr>
        </w:div>
        <w:div w:id="2092385048">
          <w:marLeft w:val="720"/>
          <w:marRight w:val="0"/>
          <w:marTop w:val="0"/>
          <w:marBottom w:val="0"/>
          <w:divBdr>
            <w:top w:val="none" w:sz="0" w:space="0" w:color="auto"/>
            <w:left w:val="none" w:sz="0" w:space="0" w:color="auto"/>
            <w:bottom w:val="none" w:sz="0" w:space="0" w:color="auto"/>
            <w:right w:val="none" w:sz="0" w:space="0" w:color="auto"/>
          </w:divBdr>
        </w:div>
        <w:div w:id="1766682309">
          <w:marLeft w:val="720"/>
          <w:marRight w:val="0"/>
          <w:marTop w:val="0"/>
          <w:marBottom w:val="0"/>
          <w:divBdr>
            <w:top w:val="none" w:sz="0" w:space="0" w:color="auto"/>
            <w:left w:val="none" w:sz="0" w:space="0" w:color="auto"/>
            <w:bottom w:val="none" w:sz="0" w:space="0" w:color="auto"/>
            <w:right w:val="none" w:sz="0" w:space="0" w:color="auto"/>
          </w:divBdr>
        </w:div>
        <w:div w:id="1309823778">
          <w:marLeft w:val="720"/>
          <w:marRight w:val="0"/>
          <w:marTop w:val="0"/>
          <w:marBottom w:val="0"/>
          <w:divBdr>
            <w:top w:val="none" w:sz="0" w:space="0" w:color="auto"/>
            <w:left w:val="none" w:sz="0" w:space="0" w:color="auto"/>
            <w:bottom w:val="none" w:sz="0" w:space="0" w:color="auto"/>
            <w:right w:val="none" w:sz="0" w:space="0" w:color="auto"/>
          </w:divBdr>
        </w:div>
        <w:div w:id="346060796">
          <w:marLeft w:val="720"/>
          <w:marRight w:val="0"/>
          <w:marTop w:val="0"/>
          <w:marBottom w:val="0"/>
          <w:divBdr>
            <w:top w:val="none" w:sz="0" w:space="0" w:color="auto"/>
            <w:left w:val="none" w:sz="0" w:space="0" w:color="auto"/>
            <w:bottom w:val="none" w:sz="0" w:space="0" w:color="auto"/>
            <w:right w:val="none" w:sz="0" w:space="0" w:color="auto"/>
          </w:divBdr>
        </w:div>
      </w:divsChild>
    </w:div>
    <w:div w:id="1542203740">
      <w:bodyDiv w:val="1"/>
      <w:marLeft w:val="0"/>
      <w:marRight w:val="0"/>
      <w:marTop w:val="0"/>
      <w:marBottom w:val="0"/>
      <w:divBdr>
        <w:top w:val="none" w:sz="0" w:space="0" w:color="auto"/>
        <w:left w:val="none" w:sz="0" w:space="0" w:color="auto"/>
        <w:bottom w:val="none" w:sz="0" w:space="0" w:color="auto"/>
        <w:right w:val="none" w:sz="0" w:space="0" w:color="auto"/>
      </w:divBdr>
    </w:div>
    <w:div w:id="172151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1029</Words>
  <Characters>5663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Adrifelcha</cp:lastModifiedBy>
  <cp:revision>2</cp:revision>
  <dcterms:created xsi:type="dcterms:W3CDTF">2015-11-17T23:28:00Z</dcterms:created>
  <dcterms:modified xsi:type="dcterms:W3CDTF">2015-11-17T23:28:00Z</dcterms:modified>
</cp:coreProperties>
</file>