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0575677"/>
    <w:p w:rsidR="00636D24" w:rsidRDefault="00436552" w:rsidP="000D7D6E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3421379</wp:posOffset>
                </wp:positionV>
                <wp:extent cx="7315200" cy="2962275"/>
                <wp:effectExtent l="0" t="0" r="0" b="952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6B1" w:rsidRDefault="000F36B1" w:rsidP="002F5FF7">
                            <w:pPr>
                              <w:spacing w:before="0" w:after="0"/>
                              <w:jc w:val="center"/>
                              <w:rPr>
                                <w:rFonts w:ascii="Arial" w:eastAsia="Times New Roman" w:hAnsi="Arial" w:cs="Arial"/>
                                <w:sz w:val="52"/>
                                <w:szCs w:val="5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52"/>
                                <w:szCs w:val="52"/>
                                <w:lang w:val="es-MX" w:eastAsia="es-MX"/>
                              </w:rPr>
                              <w:t>Reporte del Modelo de medición para las escalas del Informe de responsabilidades profesionales</w:t>
                            </w:r>
                          </w:p>
                          <w:p w:rsidR="000F36B1" w:rsidRDefault="000F36B1" w:rsidP="00A863AE">
                            <w:pPr>
                              <w:spacing w:before="0" w:after="0"/>
                              <w:jc w:val="center"/>
                              <w:rPr>
                                <w:rFonts w:ascii="Arial" w:eastAsia="Times New Roman" w:hAnsi="Arial" w:cs="Arial"/>
                                <w:sz w:val="44"/>
                                <w:szCs w:val="44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4"/>
                                <w:szCs w:val="44"/>
                                <w:lang w:val="es-MX" w:eastAsia="es-MX"/>
                              </w:rPr>
                              <w:t xml:space="preserve">Servicio Profesional Docente 2017 </w:t>
                            </w:r>
                          </w:p>
                          <w:p w:rsidR="000F36B1" w:rsidRDefault="000F36B1" w:rsidP="00A863AE">
                            <w:pPr>
                              <w:spacing w:before="0" w:after="0"/>
                              <w:jc w:val="center"/>
                              <w:rPr>
                                <w:rFonts w:ascii="Arial" w:eastAsia="Times New Roman" w:hAnsi="Arial" w:cs="Arial"/>
                                <w:sz w:val="44"/>
                                <w:szCs w:val="44"/>
                                <w:lang w:val="es-MX" w:eastAsia="es-MX"/>
                              </w:rPr>
                            </w:pPr>
                          </w:p>
                          <w:p w:rsidR="000F36B1" w:rsidRDefault="000F36B1" w:rsidP="00A863AE">
                            <w:pPr>
                              <w:spacing w:before="0" w:after="0"/>
                              <w:jc w:val="center"/>
                              <w:rPr>
                                <w:rFonts w:ascii="Arial" w:eastAsia="Times New Roman" w:hAnsi="Arial" w:cs="Arial"/>
                                <w:sz w:val="44"/>
                                <w:szCs w:val="44"/>
                                <w:lang w:val="es-MX" w:eastAsia="es-MX"/>
                              </w:rPr>
                            </w:pPr>
                          </w:p>
                          <w:p w:rsidR="000F36B1" w:rsidRPr="009B4D45" w:rsidRDefault="000F36B1" w:rsidP="009B4D45">
                            <w:pPr>
                              <w:spacing w:before="0" w:after="0"/>
                              <w:jc w:val="right"/>
                              <w:rPr>
                                <w:rFonts w:ascii="Folio Std Light" w:hAnsi="Folio Std Light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s-MX" w:eastAsia="es-MX"/>
                              </w:rPr>
                              <w:t>Elaborado el 1 de septiembre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4.4pt;margin-top:269.4pt;width:8in;height:233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VstwIAALo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" filled="f" stroked="f">
                <v:textbox>
                  <w:txbxContent>
                    <w:p w14:paraId="104FE06A" w14:textId="4BB6CEBA" w:rsidR="000F36B1" w:rsidRDefault="000F36B1" w:rsidP="002F5FF7">
                      <w:pPr>
                        <w:spacing w:before="0" w:after="0"/>
                        <w:jc w:val="center"/>
                        <w:rPr>
                          <w:rFonts w:ascii="Arial" w:eastAsia="Times New Roman" w:hAnsi="Arial" w:cs="Arial"/>
                          <w:sz w:val="52"/>
                          <w:szCs w:val="52"/>
                          <w:lang w:val="es-MX"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52"/>
                          <w:szCs w:val="52"/>
                          <w:lang w:val="es-MX" w:eastAsia="es-MX"/>
                        </w:rPr>
                        <w:t>Reporte del Modelo de medición para las escalas del Informe de responsabilidades profesionales</w:t>
                      </w:r>
                    </w:p>
                    <w:p w14:paraId="63610172" w14:textId="77777777" w:rsidR="000F36B1" w:rsidRDefault="000F36B1" w:rsidP="00A863AE">
                      <w:pPr>
                        <w:spacing w:before="0" w:after="0"/>
                        <w:jc w:val="center"/>
                        <w:rPr>
                          <w:rFonts w:ascii="Arial" w:eastAsia="Times New Roman" w:hAnsi="Arial" w:cs="Arial"/>
                          <w:sz w:val="44"/>
                          <w:szCs w:val="44"/>
                          <w:lang w:val="es-MX"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4"/>
                          <w:szCs w:val="44"/>
                          <w:lang w:val="es-MX" w:eastAsia="es-MX"/>
                        </w:rPr>
                        <w:t xml:space="preserve">Servicio Profesional Docente 2017 </w:t>
                      </w:r>
                    </w:p>
                    <w:p w14:paraId="1B81626F" w14:textId="77777777" w:rsidR="000F36B1" w:rsidRDefault="000F36B1" w:rsidP="00A863AE">
                      <w:pPr>
                        <w:spacing w:before="0" w:after="0"/>
                        <w:jc w:val="center"/>
                        <w:rPr>
                          <w:rFonts w:ascii="Arial" w:eastAsia="Times New Roman" w:hAnsi="Arial" w:cs="Arial"/>
                          <w:sz w:val="44"/>
                          <w:szCs w:val="44"/>
                          <w:lang w:val="es-MX" w:eastAsia="es-MX"/>
                        </w:rPr>
                      </w:pPr>
                    </w:p>
                    <w:p w14:paraId="4DAA0501" w14:textId="77777777" w:rsidR="000F36B1" w:rsidRDefault="000F36B1" w:rsidP="00A863AE">
                      <w:pPr>
                        <w:spacing w:before="0" w:after="0"/>
                        <w:jc w:val="center"/>
                        <w:rPr>
                          <w:rFonts w:ascii="Arial" w:eastAsia="Times New Roman" w:hAnsi="Arial" w:cs="Arial"/>
                          <w:sz w:val="44"/>
                          <w:szCs w:val="44"/>
                          <w:lang w:val="es-MX" w:eastAsia="es-MX"/>
                        </w:rPr>
                      </w:pPr>
                    </w:p>
                    <w:p w14:paraId="0E8ED88C" w14:textId="77777777" w:rsidR="000F36B1" w:rsidRPr="009B4D45" w:rsidRDefault="000F36B1" w:rsidP="009B4D45">
                      <w:pPr>
                        <w:spacing w:before="0" w:after="0"/>
                        <w:jc w:val="right"/>
                        <w:rPr>
                          <w:rFonts w:ascii="Folio Std Light" w:hAnsi="Folio Std Light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s-MX" w:eastAsia="es-MX"/>
                        </w:rPr>
                        <w:t>Elaborado el 1 de septiembre de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441960</wp:posOffset>
                </wp:positionV>
                <wp:extent cx="7772400" cy="693420"/>
                <wp:effectExtent l="0" t="381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6B1" w:rsidRPr="00A863AE" w:rsidRDefault="000F36B1" w:rsidP="00A863AE">
                            <w:pPr>
                              <w:spacing w:before="0" w:after="0"/>
                              <w:jc w:val="center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MX" w:eastAsia="es-MX"/>
                              </w:rPr>
                              <w:t>Unidad del Sistema Educativo Nacional</w:t>
                            </w:r>
                          </w:p>
                          <w:p w:rsidR="000F36B1" w:rsidRPr="00A863AE" w:rsidRDefault="000F36B1" w:rsidP="00A863AE">
                            <w:pPr>
                              <w:spacing w:before="0" w:after="0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MX" w:eastAsia="es-MX"/>
                              </w:rPr>
                              <w:t>Dirección General de Medición y Tratamiento de Datos</w:t>
                            </w:r>
                          </w:p>
                          <w:p w:rsidR="000F36B1" w:rsidRPr="002F5FF7" w:rsidRDefault="000F36B1" w:rsidP="00A863AE">
                            <w:pPr>
                              <w:jc w:val="center"/>
                              <w:rPr>
                                <w:rFonts w:ascii="Folio Std Light" w:hAnsi="Folio Std Light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Cuadro de texto 2" o:spid="_x0000_s1027" type="#_x0000_t202" style="position:absolute;left:0;text-align:left;margin-left:-1in;margin-top:34.8pt;width:612pt;height:5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+vvgIAAMc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" filled="f" stroked="f">
                <v:textbox>
                  <w:txbxContent>
                    <w:p w14:paraId="537AA57C" w14:textId="77777777" w:rsidR="000F36B1" w:rsidRPr="00A863AE" w:rsidRDefault="000F36B1" w:rsidP="00A863AE">
                      <w:pPr>
                        <w:spacing w:before="0" w:after="0"/>
                        <w:jc w:val="center"/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MX"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MX" w:eastAsia="es-MX"/>
                        </w:rPr>
                        <w:t>Unidad del Sistema Educativo Nacional</w:t>
                      </w:r>
                    </w:p>
                    <w:p w14:paraId="232B7851" w14:textId="77777777" w:rsidR="000F36B1" w:rsidRPr="00A863AE" w:rsidRDefault="000F36B1" w:rsidP="00A863AE">
                      <w:pPr>
                        <w:spacing w:before="0" w:after="0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MX"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MX" w:eastAsia="es-MX"/>
                        </w:rPr>
                        <w:t>Dirección General de Medición y Tratamiento de Datos</w:t>
                      </w:r>
                    </w:p>
                    <w:p w14:paraId="55B36EFA" w14:textId="77777777" w:rsidR="000F36B1" w:rsidRPr="002F5FF7" w:rsidRDefault="000F36B1" w:rsidP="00A863AE">
                      <w:pPr>
                        <w:jc w:val="center"/>
                        <w:rPr>
                          <w:rFonts w:ascii="Folio Std Light" w:hAnsi="Folio Std Light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r w:rsidR="000C16AE" w:rsidRPr="00480B90">
        <w:rPr>
          <w:lang w:val="es-MX"/>
        </w:rPr>
        <w:br w:type="page"/>
      </w:r>
    </w:p>
    <w:bookmarkStart w:id="1" w:name="_Toc450575679" w:displacedByCustomXml="next"/>
    <w:sdt>
      <w:sdtPr>
        <w:rPr>
          <w:rFonts w:ascii="Corbel" w:eastAsia="Corbel" w:hAnsi="Corbel" w:cs="Times New Roman"/>
          <w:noProof/>
          <w:color w:val="auto"/>
          <w:sz w:val="20"/>
          <w:szCs w:val="20"/>
          <w:lang w:val="es-ES" w:eastAsia="zh-TW"/>
        </w:rPr>
        <w:id w:val="1262961737"/>
        <w:docPartObj>
          <w:docPartGallery w:val="Table of Contents"/>
          <w:docPartUnique/>
        </w:docPartObj>
      </w:sdtPr>
      <w:sdtEndPr/>
      <w:sdtContent>
        <w:p w:rsidR="00636D24" w:rsidRDefault="00636D24">
          <w:pPr>
            <w:pStyle w:val="TtuloTDC"/>
          </w:pPr>
          <w:r>
            <w:rPr>
              <w:lang w:val="es-ES"/>
            </w:rPr>
            <w:t>Contenido</w:t>
          </w:r>
        </w:p>
        <w:p w:rsidR="005F5B10" w:rsidRDefault="00636D24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02116" w:history="1">
            <w:r w:rsidR="005F5B10" w:rsidRPr="00E65691">
              <w:rPr>
                <w:rStyle w:val="Hipervnculo"/>
                <w:noProof/>
                <w:lang w:val="es-ES"/>
              </w:rPr>
              <w:t>Resultados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_Toc492302116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3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17" w:history="1">
            <w:r w:rsidR="005F5B10" w:rsidRPr="00E65691">
              <w:rPr>
                <w:rStyle w:val="Hipervnculo"/>
                <w:noProof/>
                <w:lang w:val="es-MX"/>
              </w:rPr>
              <w:t>Reactivos que conforman las Escalas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_Toc492302117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3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18" w:history="1">
            <w:r w:rsidR="005F5B10" w:rsidRPr="00E65691">
              <w:rPr>
                <w:rStyle w:val="Hipervnculo"/>
                <w:noProof/>
                <w:lang w:val="es-MX"/>
              </w:rPr>
              <w:t>Resumen de análisis psicométrico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_Toc492302118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3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19" w:history="1">
            <w:r w:rsidR="005F5B10" w:rsidRPr="00E65691">
              <w:rPr>
                <w:rStyle w:val="Hipervnculo"/>
                <w:noProof/>
                <w:lang w:val="es-ES_tradnl"/>
              </w:rPr>
              <w:t>Modelo Factorial Confirmatorio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_Toc492302119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5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20" w:history="1">
            <w:r w:rsidR="005F5B10" w:rsidRPr="00E65691">
              <w:rPr>
                <w:rStyle w:val="Hipervnculo"/>
                <w:noProof/>
                <w:lang w:val="es-ES_tradnl"/>
              </w:rPr>
              <w:t>El modelo de medición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_Toc492302120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8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21" w:history="1">
            <w:r w:rsidR="005F5B10" w:rsidRPr="00E65691">
              <w:rPr>
                <w:rStyle w:val="Hipervnculo"/>
                <w:noProof/>
                <w:lang w:val="es-ES_tradnl"/>
              </w:rPr>
              <w:t>Parámetros del Modelo de Crédito Parcial (MCP)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_Toc492302121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8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22" w:history="1">
            <w:r w:rsidR="005F5B10" w:rsidRPr="00E65691">
              <w:rPr>
                <w:rStyle w:val="Hipervnculo"/>
                <w:noProof/>
                <w:lang w:val="es-ES_tradnl"/>
              </w:rPr>
              <w:t>Ajuste del Modelo de Crédito Parcial (MCP)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_Toc492302122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11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23" w:history="1">
            <w:r w:rsidR="005F5B10" w:rsidRPr="00E65691">
              <w:rPr>
                <w:rStyle w:val="Hipervnculo"/>
                <w:noProof/>
                <w:lang w:val="es-MX"/>
              </w:rPr>
              <w:t>Mapa de Wright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_Toc492302123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13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24" w:history="1">
            <w:r w:rsidR="005F5B10" w:rsidRPr="00E65691">
              <w:rPr>
                <w:rStyle w:val="Hipervnculo"/>
                <w:noProof/>
                <w:lang w:val="es-MX"/>
              </w:rPr>
              <w:t>Nivel de cumplimiento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_Toc492302124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15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5F5B10" w:rsidRDefault="006A0F3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492302125" w:history="1">
            <w:r w:rsidR="005F5B10" w:rsidRPr="00E65691">
              <w:rPr>
                <w:rStyle w:val="Hipervnculo"/>
                <w:noProof/>
                <w:lang w:val="es-MX"/>
              </w:rPr>
              <w:t>Bibliografía</w:t>
            </w:r>
            <w:r w:rsidR="005F5B10">
              <w:rPr>
                <w:noProof/>
                <w:webHidden/>
              </w:rPr>
              <w:tab/>
            </w:r>
            <w:r w:rsidR="005F5B10">
              <w:rPr>
                <w:noProof/>
                <w:webHidden/>
              </w:rPr>
              <w:fldChar w:fldCharType="begin"/>
            </w:r>
            <w:r w:rsidR="005F5B10">
              <w:rPr>
                <w:noProof/>
                <w:webHidden/>
              </w:rPr>
              <w:instrText xml:space="preserve"> PAGEREF _Toc492302125 \h </w:instrText>
            </w:r>
            <w:r w:rsidR="005F5B10">
              <w:rPr>
                <w:noProof/>
                <w:webHidden/>
              </w:rPr>
            </w:r>
            <w:r w:rsidR="005F5B10">
              <w:rPr>
                <w:noProof/>
                <w:webHidden/>
              </w:rPr>
              <w:fldChar w:fldCharType="separate"/>
            </w:r>
            <w:r w:rsidR="004667EC">
              <w:rPr>
                <w:noProof/>
                <w:webHidden/>
              </w:rPr>
              <w:t>17</w:t>
            </w:r>
            <w:r w:rsidR="005F5B10">
              <w:rPr>
                <w:noProof/>
                <w:webHidden/>
              </w:rPr>
              <w:fldChar w:fldCharType="end"/>
            </w:r>
          </w:hyperlink>
        </w:p>
        <w:p w:rsidR="0065198B" w:rsidRDefault="00636D24" w:rsidP="000D7D6E">
          <w:pPr>
            <w:pStyle w:val="Normal-SpaceAfter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A4650F" w:rsidRPr="00D6138C" w:rsidRDefault="0065198B" w:rsidP="00582BC0">
      <w:pPr>
        <w:pStyle w:val="Ttulo1"/>
        <w:rPr>
          <w:rFonts w:cs="Arial"/>
          <w:sz w:val="22"/>
          <w:szCs w:val="22"/>
          <w:lang w:val="es-ES"/>
        </w:rPr>
      </w:pPr>
      <w:r>
        <w:rPr>
          <w:lang w:val="es-ES"/>
        </w:rPr>
        <w:br w:type="page"/>
      </w:r>
    </w:p>
    <w:p w:rsidR="00A9487D" w:rsidRDefault="00A9487D" w:rsidP="00B22AA2">
      <w:pPr>
        <w:rPr>
          <w:lang w:val="es-ES"/>
        </w:rPr>
      </w:pPr>
    </w:p>
    <w:p w:rsidR="00A9487D" w:rsidRDefault="00A9487D" w:rsidP="00A9487D">
      <w:pPr>
        <w:pStyle w:val="Ttulo1"/>
        <w:rPr>
          <w:lang w:val="es-ES"/>
        </w:rPr>
      </w:pPr>
      <w:bookmarkStart w:id="2" w:name="_Toc492043199"/>
      <w:bookmarkStart w:id="3" w:name="_Toc492280972"/>
      <w:bookmarkStart w:id="4" w:name="_Toc492282211"/>
      <w:bookmarkStart w:id="5" w:name="_Toc492300722"/>
      <w:bookmarkStart w:id="6" w:name="_Toc492301715"/>
      <w:bookmarkStart w:id="7" w:name="_Toc492302116"/>
      <w:r>
        <w:rPr>
          <w:lang w:val="es-ES"/>
        </w:rPr>
        <w:t>Resultados</w:t>
      </w:r>
      <w:bookmarkEnd w:id="2"/>
      <w:bookmarkEnd w:id="3"/>
      <w:bookmarkEnd w:id="4"/>
      <w:bookmarkEnd w:id="5"/>
      <w:bookmarkEnd w:id="6"/>
      <w:bookmarkEnd w:id="7"/>
    </w:p>
    <w:p w:rsidR="00BB6E1D" w:rsidRDefault="00FD47EA" w:rsidP="00A9487D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Las escalas </w:t>
      </w:r>
      <w:r w:rsidR="00C470A8">
        <w:rPr>
          <w:rFonts w:ascii="Arial" w:hAnsi="Arial" w:cs="Arial"/>
          <w:sz w:val="22"/>
          <w:szCs w:val="22"/>
          <w:lang w:val="es-MX"/>
        </w:rPr>
        <w:t>reportadas</w:t>
      </w:r>
      <w:r>
        <w:rPr>
          <w:rFonts w:ascii="Arial" w:hAnsi="Arial" w:cs="Arial"/>
          <w:sz w:val="22"/>
          <w:szCs w:val="22"/>
          <w:lang w:val="es-MX"/>
        </w:rPr>
        <w:t xml:space="preserve"> presentan</w:t>
      </w:r>
      <w:r w:rsidR="004E066A">
        <w:rPr>
          <w:rFonts w:ascii="Arial" w:hAnsi="Arial" w:cs="Arial"/>
          <w:sz w:val="22"/>
          <w:szCs w:val="22"/>
          <w:lang w:val="es-MX"/>
        </w:rPr>
        <w:t xml:space="preserve"> respu</w:t>
      </w:r>
      <w:r w:rsidR="00905855">
        <w:rPr>
          <w:rFonts w:ascii="Arial" w:hAnsi="Arial" w:cs="Arial"/>
          <w:sz w:val="22"/>
          <w:szCs w:val="22"/>
          <w:lang w:val="es-MX"/>
        </w:rPr>
        <w:t>e</w:t>
      </w:r>
      <w:r w:rsidR="004E066A">
        <w:rPr>
          <w:rFonts w:ascii="Arial" w:hAnsi="Arial" w:cs="Arial"/>
          <w:sz w:val="22"/>
          <w:szCs w:val="22"/>
          <w:lang w:val="es-MX"/>
        </w:rPr>
        <w:t xml:space="preserve">stas en las </w:t>
      </w:r>
      <w:r>
        <w:rPr>
          <w:rFonts w:ascii="Arial" w:hAnsi="Arial" w:cs="Arial"/>
          <w:sz w:val="22"/>
          <w:szCs w:val="22"/>
          <w:lang w:val="es-MX"/>
        </w:rPr>
        <w:t>puntuaciones</w:t>
      </w:r>
      <w:r w:rsidR="004E066A">
        <w:rPr>
          <w:rFonts w:ascii="Arial" w:hAnsi="Arial" w:cs="Arial"/>
          <w:sz w:val="22"/>
          <w:szCs w:val="22"/>
          <w:lang w:val="es-MX"/>
        </w:rPr>
        <w:t xml:space="preserve"> más altas, lo cual indica que se trata de cuestionarios con m</w:t>
      </w:r>
      <w:r w:rsidR="00B84F4B">
        <w:rPr>
          <w:rFonts w:ascii="Arial" w:hAnsi="Arial" w:cs="Arial"/>
          <w:sz w:val="22"/>
          <w:szCs w:val="22"/>
          <w:lang w:val="es-MX"/>
        </w:rPr>
        <w:t>ucha deseabilidad</w:t>
      </w:r>
      <w:r w:rsidR="00B73226">
        <w:rPr>
          <w:rFonts w:ascii="Arial" w:hAnsi="Arial" w:cs="Arial"/>
          <w:sz w:val="22"/>
          <w:szCs w:val="22"/>
          <w:lang w:val="es-MX"/>
        </w:rPr>
        <w:t>. E</w:t>
      </w:r>
      <w:r w:rsidR="00652B11">
        <w:rPr>
          <w:rFonts w:ascii="Arial" w:hAnsi="Arial" w:cs="Arial"/>
          <w:sz w:val="22"/>
          <w:szCs w:val="22"/>
          <w:lang w:val="es-MX"/>
        </w:rPr>
        <w:t>sto</w:t>
      </w:r>
      <w:r w:rsidR="00B84F4B">
        <w:rPr>
          <w:rFonts w:ascii="Arial" w:hAnsi="Arial" w:cs="Arial"/>
          <w:sz w:val="22"/>
          <w:szCs w:val="22"/>
          <w:lang w:val="es-MX"/>
        </w:rPr>
        <w:t xml:space="preserve"> </w:t>
      </w:r>
      <w:r w:rsidR="00593AF2">
        <w:rPr>
          <w:rFonts w:ascii="Arial" w:hAnsi="Arial" w:cs="Arial"/>
          <w:sz w:val="22"/>
          <w:szCs w:val="22"/>
          <w:lang w:val="es-MX"/>
        </w:rPr>
        <w:t>tiene repercusión en la construcción de la medida</w:t>
      </w:r>
      <w:r w:rsidR="00652B11">
        <w:rPr>
          <w:rFonts w:ascii="Arial" w:hAnsi="Arial" w:cs="Arial"/>
          <w:sz w:val="22"/>
          <w:szCs w:val="22"/>
          <w:lang w:val="es-MX"/>
        </w:rPr>
        <w:t>,</w:t>
      </w:r>
      <w:r w:rsidR="00593AF2">
        <w:rPr>
          <w:rFonts w:ascii="Arial" w:hAnsi="Arial" w:cs="Arial"/>
          <w:sz w:val="22"/>
          <w:szCs w:val="22"/>
          <w:lang w:val="es-MX"/>
        </w:rPr>
        <w:t xml:space="preserve"> </w:t>
      </w:r>
      <w:r w:rsidR="00896B4F">
        <w:rPr>
          <w:rFonts w:ascii="Arial" w:hAnsi="Arial" w:cs="Arial"/>
          <w:sz w:val="22"/>
          <w:szCs w:val="22"/>
          <w:lang w:val="es-MX"/>
        </w:rPr>
        <w:t>pues</w:t>
      </w:r>
      <w:r w:rsidR="00593AF2">
        <w:rPr>
          <w:rFonts w:ascii="Arial" w:hAnsi="Arial" w:cs="Arial"/>
          <w:sz w:val="22"/>
          <w:szCs w:val="22"/>
          <w:lang w:val="es-MX"/>
        </w:rPr>
        <w:t xml:space="preserve"> los reactivos se ubican en los puntajes </w:t>
      </w:r>
      <w:r w:rsidR="00B73226">
        <w:rPr>
          <w:rFonts w:ascii="Arial" w:hAnsi="Arial" w:cs="Arial"/>
          <w:sz w:val="22"/>
          <w:szCs w:val="22"/>
          <w:lang w:val="es-MX"/>
        </w:rPr>
        <w:t>mayores</w:t>
      </w:r>
      <w:r w:rsidR="00593AF2">
        <w:rPr>
          <w:rFonts w:ascii="Arial" w:hAnsi="Arial" w:cs="Arial"/>
          <w:sz w:val="22"/>
          <w:szCs w:val="22"/>
          <w:lang w:val="es-MX"/>
        </w:rPr>
        <w:t xml:space="preserve"> de l</w:t>
      </w:r>
      <w:r w:rsidR="00393FBF">
        <w:rPr>
          <w:rFonts w:ascii="Arial" w:hAnsi="Arial" w:cs="Arial"/>
          <w:sz w:val="22"/>
          <w:szCs w:val="22"/>
          <w:lang w:val="es-MX"/>
        </w:rPr>
        <w:t xml:space="preserve">a escala, </w:t>
      </w:r>
      <w:r w:rsidR="00BF013B">
        <w:rPr>
          <w:rFonts w:ascii="Arial" w:hAnsi="Arial" w:cs="Arial"/>
          <w:sz w:val="22"/>
          <w:szCs w:val="22"/>
          <w:lang w:val="es-MX"/>
        </w:rPr>
        <w:t>así</w:t>
      </w:r>
      <w:r w:rsidR="00393FBF">
        <w:rPr>
          <w:rFonts w:ascii="Arial" w:hAnsi="Arial" w:cs="Arial"/>
          <w:sz w:val="22"/>
          <w:szCs w:val="22"/>
          <w:lang w:val="es-MX"/>
        </w:rPr>
        <w:t xml:space="preserve"> la población de ATP o AI </w:t>
      </w:r>
      <w:r w:rsidR="00BC246D">
        <w:rPr>
          <w:rFonts w:ascii="Arial" w:hAnsi="Arial" w:cs="Arial"/>
          <w:sz w:val="22"/>
          <w:szCs w:val="22"/>
          <w:lang w:val="es-MX"/>
        </w:rPr>
        <w:t xml:space="preserve">ubicada en puntuaciones </w:t>
      </w:r>
      <w:r w:rsidR="00C67CD4">
        <w:rPr>
          <w:rFonts w:ascii="Arial" w:hAnsi="Arial" w:cs="Arial"/>
          <w:sz w:val="22"/>
          <w:szCs w:val="22"/>
          <w:lang w:val="es-MX"/>
        </w:rPr>
        <w:t>menores</w:t>
      </w:r>
      <w:r w:rsidR="00BC246D">
        <w:rPr>
          <w:rFonts w:ascii="Arial" w:hAnsi="Arial" w:cs="Arial"/>
          <w:sz w:val="22"/>
          <w:szCs w:val="22"/>
          <w:lang w:val="es-MX"/>
        </w:rPr>
        <w:t xml:space="preserve"> está caracterizada con </w:t>
      </w:r>
      <w:r w:rsidR="00FF619C">
        <w:rPr>
          <w:rFonts w:ascii="Arial" w:hAnsi="Arial" w:cs="Arial"/>
          <w:sz w:val="22"/>
          <w:szCs w:val="22"/>
          <w:lang w:val="es-MX"/>
        </w:rPr>
        <w:t>mayor</w:t>
      </w:r>
      <w:r w:rsidR="00BC246D">
        <w:rPr>
          <w:rFonts w:ascii="Arial" w:hAnsi="Arial" w:cs="Arial"/>
          <w:sz w:val="22"/>
          <w:szCs w:val="22"/>
          <w:lang w:val="es-MX"/>
        </w:rPr>
        <w:t xml:space="preserve"> error</w:t>
      </w:r>
      <w:r w:rsidR="007A33CE">
        <w:rPr>
          <w:rFonts w:ascii="Arial" w:hAnsi="Arial" w:cs="Arial"/>
          <w:sz w:val="22"/>
          <w:szCs w:val="22"/>
          <w:lang w:val="es-MX"/>
        </w:rPr>
        <w:t xml:space="preserve"> dentro de la medida</w:t>
      </w:r>
      <w:r w:rsidR="00FF619C">
        <w:rPr>
          <w:rFonts w:ascii="Arial" w:hAnsi="Arial" w:cs="Arial"/>
          <w:sz w:val="22"/>
          <w:szCs w:val="22"/>
          <w:lang w:val="es-MX"/>
        </w:rPr>
        <w:t xml:space="preserve"> respecto a las puntuaciones </w:t>
      </w:r>
      <w:r w:rsidR="00C67CD4">
        <w:rPr>
          <w:rFonts w:ascii="Arial" w:hAnsi="Arial" w:cs="Arial"/>
          <w:sz w:val="22"/>
          <w:szCs w:val="22"/>
          <w:lang w:val="es-MX"/>
        </w:rPr>
        <w:t>mayores</w:t>
      </w:r>
      <w:r w:rsidR="00BC246D">
        <w:rPr>
          <w:rFonts w:ascii="Arial" w:hAnsi="Arial" w:cs="Arial"/>
          <w:sz w:val="22"/>
          <w:szCs w:val="22"/>
          <w:lang w:val="es-MX"/>
        </w:rPr>
        <w:t>.</w:t>
      </w:r>
      <w:r w:rsidR="00905855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405379" w:rsidRDefault="00405379" w:rsidP="00A9487D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Es conveniente contar con preguntas en los cuestionarios que permitan discriminar a la población </w:t>
      </w:r>
      <w:r w:rsidR="007C0EBC">
        <w:rPr>
          <w:rFonts w:ascii="Arial" w:hAnsi="Arial" w:cs="Arial"/>
          <w:sz w:val="22"/>
          <w:szCs w:val="22"/>
          <w:lang w:val="es-ES"/>
        </w:rPr>
        <w:t>evaluada</w:t>
      </w:r>
      <w:r w:rsidR="00593DFC">
        <w:rPr>
          <w:rFonts w:ascii="Arial" w:hAnsi="Arial" w:cs="Arial"/>
          <w:sz w:val="22"/>
          <w:szCs w:val="22"/>
          <w:lang w:val="es-ES"/>
        </w:rPr>
        <w:t xml:space="preserve"> brindando d</w:t>
      </w:r>
      <w:r w:rsidR="007C0EBC">
        <w:rPr>
          <w:rFonts w:ascii="Arial" w:hAnsi="Arial" w:cs="Arial"/>
          <w:sz w:val="22"/>
          <w:szCs w:val="22"/>
          <w:lang w:val="es-ES"/>
        </w:rPr>
        <w:t xml:space="preserve">escripciones </w:t>
      </w:r>
      <w:r w:rsidR="00741583">
        <w:rPr>
          <w:rFonts w:ascii="Arial" w:hAnsi="Arial" w:cs="Arial"/>
          <w:sz w:val="22"/>
          <w:szCs w:val="22"/>
          <w:lang w:val="es-ES"/>
        </w:rPr>
        <w:t>en todo</w:t>
      </w:r>
      <w:r w:rsidR="007C0EBC">
        <w:rPr>
          <w:rFonts w:ascii="Arial" w:hAnsi="Arial" w:cs="Arial"/>
          <w:sz w:val="22"/>
          <w:szCs w:val="22"/>
          <w:lang w:val="es-ES"/>
        </w:rPr>
        <w:t xml:space="preserve"> </w:t>
      </w:r>
      <w:r w:rsidR="00593DFC">
        <w:rPr>
          <w:rFonts w:ascii="Arial" w:hAnsi="Arial" w:cs="Arial"/>
          <w:sz w:val="22"/>
          <w:szCs w:val="22"/>
          <w:lang w:val="es-ES"/>
        </w:rPr>
        <w:t>e</w:t>
      </w:r>
      <w:r w:rsidR="00BF2F50">
        <w:rPr>
          <w:rFonts w:ascii="Arial" w:hAnsi="Arial" w:cs="Arial"/>
          <w:sz w:val="22"/>
          <w:szCs w:val="22"/>
          <w:lang w:val="es-ES"/>
        </w:rPr>
        <w:t>l</w:t>
      </w:r>
      <w:r w:rsidR="00593DFC">
        <w:rPr>
          <w:rFonts w:ascii="Arial" w:hAnsi="Arial" w:cs="Arial"/>
          <w:sz w:val="22"/>
          <w:szCs w:val="22"/>
          <w:lang w:val="es-ES"/>
        </w:rPr>
        <w:t xml:space="preserve"> continu</w:t>
      </w:r>
      <w:r w:rsidR="00F76C83">
        <w:rPr>
          <w:rFonts w:ascii="Arial" w:hAnsi="Arial" w:cs="Arial"/>
          <w:sz w:val="22"/>
          <w:szCs w:val="22"/>
          <w:lang w:val="es-ES"/>
        </w:rPr>
        <w:t>o</w:t>
      </w:r>
      <w:r w:rsidR="00741583">
        <w:rPr>
          <w:rFonts w:ascii="Arial" w:hAnsi="Arial" w:cs="Arial"/>
          <w:sz w:val="22"/>
          <w:szCs w:val="22"/>
          <w:lang w:val="es-ES"/>
        </w:rPr>
        <w:t xml:space="preserve"> que conforma la medida</w:t>
      </w:r>
      <w:r w:rsidR="00BF2F50">
        <w:rPr>
          <w:rFonts w:ascii="Arial" w:hAnsi="Arial" w:cs="Arial"/>
          <w:sz w:val="22"/>
          <w:szCs w:val="22"/>
          <w:lang w:val="es-ES"/>
        </w:rPr>
        <w:t>.</w:t>
      </w:r>
      <w:r w:rsidR="005F376D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1575BE" w:rsidRDefault="001575BE" w:rsidP="00A9487D">
      <w:pPr>
        <w:rPr>
          <w:rFonts w:ascii="Arial" w:hAnsi="Arial" w:cs="Arial"/>
          <w:sz w:val="22"/>
          <w:szCs w:val="22"/>
          <w:lang w:val="es-ES"/>
        </w:rPr>
      </w:pPr>
    </w:p>
    <w:p w:rsidR="001575BE" w:rsidRPr="00991F0C" w:rsidRDefault="001575BE" w:rsidP="001575BE">
      <w:pPr>
        <w:pStyle w:val="Ttulo1"/>
        <w:rPr>
          <w:lang w:val="es-MX"/>
        </w:rPr>
      </w:pPr>
      <w:bookmarkStart w:id="8" w:name="_Toc492300723"/>
      <w:bookmarkStart w:id="9" w:name="_Toc492301716"/>
      <w:bookmarkStart w:id="10" w:name="_Toc492302117"/>
      <w:r w:rsidRPr="002F3AAC">
        <w:rPr>
          <w:lang w:val="es-MX"/>
        </w:rPr>
        <w:t>Reactivos que confo</w:t>
      </w:r>
      <w:r>
        <w:rPr>
          <w:lang w:val="es-MX"/>
        </w:rPr>
        <w:t>rma</w:t>
      </w:r>
      <w:r w:rsidRPr="002F3AAC">
        <w:rPr>
          <w:lang w:val="es-MX"/>
        </w:rPr>
        <w:t>n la</w:t>
      </w:r>
      <w:r>
        <w:rPr>
          <w:lang w:val="es-MX"/>
        </w:rPr>
        <w:t>s</w:t>
      </w:r>
      <w:r w:rsidRPr="002F3AAC">
        <w:rPr>
          <w:lang w:val="es-MX"/>
        </w:rPr>
        <w:t xml:space="preserve"> Escala</w:t>
      </w:r>
      <w:r>
        <w:rPr>
          <w:lang w:val="es-MX"/>
        </w:rPr>
        <w:t>s</w:t>
      </w:r>
      <w:bookmarkEnd w:id="8"/>
      <w:bookmarkEnd w:id="9"/>
      <w:bookmarkEnd w:id="10"/>
    </w:p>
    <w:p w:rsidR="001575BE" w:rsidRPr="00FD47EA" w:rsidRDefault="001575BE" w:rsidP="001575BE">
      <w:pPr>
        <w:rPr>
          <w:lang w:val="es-MX"/>
        </w:rPr>
      </w:pPr>
    </w:p>
    <w:p w:rsidR="001575BE" w:rsidRDefault="001575BE" w:rsidP="001575BE">
      <w:pPr>
        <w:spacing w:before="0" w:after="0" w:line="240" w:lineRule="auto"/>
        <w:rPr>
          <w:rFonts w:ascii="Arial" w:hAnsi="Arial" w:cs="Arial"/>
          <w:sz w:val="22"/>
          <w:szCs w:val="22"/>
          <w:lang w:val="es-MX"/>
        </w:rPr>
      </w:pPr>
      <w:r w:rsidRPr="003F730F">
        <w:rPr>
          <w:rFonts w:ascii="Arial" w:hAnsi="Arial" w:cs="Arial"/>
          <w:sz w:val="22"/>
          <w:szCs w:val="22"/>
          <w:lang w:val="es-MX"/>
        </w:rPr>
        <w:t xml:space="preserve">Se </w:t>
      </w:r>
      <w:r>
        <w:rPr>
          <w:rFonts w:ascii="Arial" w:hAnsi="Arial" w:cs="Arial"/>
          <w:sz w:val="22"/>
          <w:szCs w:val="22"/>
          <w:lang w:val="es-MX"/>
        </w:rPr>
        <w:t>construyeron</w:t>
      </w:r>
      <w:r w:rsidRPr="003F730F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las</w:t>
      </w:r>
      <w:r w:rsidRPr="003F730F">
        <w:rPr>
          <w:rFonts w:ascii="Arial" w:hAnsi="Arial" w:cs="Arial"/>
          <w:sz w:val="22"/>
          <w:szCs w:val="22"/>
          <w:lang w:val="es-MX"/>
        </w:rPr>
        <w:t xml:space="preserve"> escalas</w:t>
      </w:r>
      <w:r>
        <w:rPr>
          <w:rFonts w:ascii="Arial" w:hAnsi="Arial" w:cs="Arial"/>
          <w:sz w:val="22"/>
          <w:szCs w:val="22"/>
          <w:lang w:val="es-MX"/>
        </w:rPr>
        <w:t xml:space="preserve"> del </w:t>
      </w:r>
      <w:r w:rsidRPr="003F730F">
        <w:rPr>
          <w:rFonts w:ascii="Arial" w:hAnsi="Arial" w:cs="Arial"/>
          <w:sz w:val="22"/>
          <w:szCs w:val="22"/>
          <w:lang w:val="es-MX"/>
        </w:rPr>
        <w:t xml:space="preserve">Informe de responsabilidades profesionales del Asesor técnico pedagógico (ATP) </w:t>
      </w:r>
      <w:r>
        <w:rPr>
          <w:rFonts w:ascii="Arial" w:hAnsi="Arial" w:cs="Arial"/>
          <w:sz w:val="22"/>
          <w:szCs w:val="22"/>
          <w:lang w:val="es-MX"/>
        </w:rPr>
        <w:t>respondidas por el Asesor Técnico Pedagógico (ATP) y por la autoridad inmediata del ATP. En el documento se hace referencia a estas escalas con los nombres cortos “ATP” y “AI” respectivamente.</w:t>
      </w:r>
    </w:p>
    <w:p w:rsidR="001575BE" w:rsidRDefault="001575BE" w:rsidP="001575BE">
      <w:pPr>
        <w:spacing w:before="0" w:after="0" w:line="240" w:lineRule="auto"/>
        <w:rPr>
          <w:rFonts w:ascii="Arial" w:hAnsi="Arial" w:cs="Arial"/>
          <w:sz w:val="22"/>
          <w:szCs w:val="22"/>
          <w:lang w:val="es-MX"/>
        </w:rPr>
      </w:pPr>
    </w:p>
    <w:p w:rsidR="001575BE" w:rsidRDefault="001575BE" w:rsidP="001575BE">
      <w:pPr>
        <w:spacing w:before="0" w:after="0" w:line="240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Cada una de las escalas se compone de 30 reactivos organizados en cinco bloques con 6 categorías de respuesta</w:t>
      </w:r>
      <w:r w:rsidRPr="00735574">
        <w:rPr>
          <w:rFonts w:ascii="Arial" w:hAnsi="Arial" w:cs="Arial"/>
          <w:sz w:val="22"/>
          <w:szCs w:val="22"/>
          <w:lang w:val="es-MX"/>
        </w:rPr>
        <w:t xml:space="preserve"> tipo Likert</w:t>
      </w:r>
      <w:r>
        <w:rPr>
          <w:rFonts w:ascii="Arial" w:hAnsi="Arial" w:cs="Arial"/>
          <w:sz w:val="22"/>
          <w:szCs w:val="22"/>
          <w:lang w:val="es-MX"/>
        </w:rPr>
        <w:t xml:space="preserve">, denominadas del 0 al 5 en donde el cero es el menor valor y el 5 el mayor valor en sentido del constructo teórico. </w:t>
      </w:r>
    </w:p>
    <w:p w:rsidR="001575BE" w:rsidRDefault="001575BE" w:rsidP="001575BE">
      <w:pPr>
        <w:spacing w:before="0" w:after="0" w:line="240" w:lineRule="auto"/>
        <w:rPr>
          <w:rFonts w:ascii="Arial" w:hAnsi="Arial" w:cs="Arial"/>
          <w:sz w:val="22"/>
          <w:szCs w:val="22"/>
          <w:lang w:val="es-MX"/>
        </w:rPr>
      </w:pPr>
    </w:p>
    <w:p w:rsidR="001575BE" w:rsidRPr="003F730F" w:rsidRDefault="001575BE" w:rsidP="001575BE">
      <w:pPr>
        <w:spacing w:before="0" w:after="0" w:line="240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Se considera como caso válido en los datos aquellos que presentan al menos una respuesta. Es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asi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MX"/>
        </w:rPr>
        <w:t>que</w:t>
      </w:r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de los 2849 casos o folios de sustentantes reportados, la escala ATP se construyó con 2740 casos y la AI con 2748.</w:t>
      </w:r>
    </w:p>
    <w:p w:rsidR="00BB6E1D" w:rsidRPr="00A9487D" w:rsidRDefault="00BB6E1D" w:rsidP="00A9487D">
      <w:pPr>
        <w:rPr>
          <w:rFonts w:ascii="Arial" w:hAnsi="Arial" w:cs="Arial"/>
          <w:sz w:val="22"/>
          <w:szCs w:val="22"/>
          <w:lang w:val="es-ES"/>
        </w:rPr>
      </w:pPr>
    </w:p>
    <w:p w:rsidR="005C00F9" w:rsidRPr="005C00F9" w:rsidRDefault="009F48BD" w:rsidP="005C00F9">
      <w:pPr>
        <w:pStyle w:val="Ttulo1"/>
        <w:rPr>
          <w:lang w:val="es-MX"/>
        </w:rPr>
      </w:pPr>
      <w:bookmarkStart w:id="11" w:name="_Toc492280973"/>
      <w:bookmarkStart w:id="12" w:name="_Toc492282212"/>
      <w:bookmarkStart w:id="13" w:name="_Toc492300724"/>
      <w:bookmarkStart w:id="14" w:name="_Toc492301717"/>
      <w:bookmarkStart w:id="15" w:name="_Toc492302118"/>
      <w:r>
        <w:rPr>
          <w:lang w:val="es-MX"/>
        </w:rPr>
        <w:t>Resumen de análisis psicométrico</w:t>
      </w:r>
      <w:bookmarkEnd w:id="11"/>
      <w:bookmarkEnd w:id="12"/>
      <w:bookmarkEnd w:id="13"/>
      <w:bookmarkEnd w:id="14"/>
      <w:bookmarkEnd w:id="15"/>
    </w:p>
    <w:p w:rsidR="009F48BD" w:rsidRPr="00B20C9E" w:rsidRDefault="005D4A8D" w:rsidP="00B20C9E">
      <w:pPr>
        <w:rPr>
          <w:rFonts w:ascii="Arial" w:hAnsi="Arial" w:cs="Arial"/>
          <w:sz w:val="22"/>
          <w:szCs w:val="22"/>
          <w:lang w:val="es-MX"/>
        </w:rPr>
      </w:pPr>
      <w:r w:rsidRPr="00B20C9E">
        <w:rPr>
          <w:rFonts w:ascii="Arial" w:hAnsi="Arial" w:cs="Arial"/>
          <w:sz w:val="22"/>
          <w:szCs w:val="22"/>
          <w:lang w:val="es-MX"/>
        </w:rPr>
        <w:t xml:space="preserve">En el archivo Excel se presentan los resultados del alfa de </w:t>
      </w:r>
      <w:proofErr w:type="spellStart"/>
      <w:r w:rsidRPr="00B20C9E">
        <w:rPr>
          <w:rFonts w:ascii="Arial" w:hAnsi="Arial" w:cs="Arial"/>
          <w:sz w:val="22"/>
          <w:szCs w:val="22"/>
          <w:lang w:val="es-MX"/>
        </w:rPr>
        <w:t>Cronbach</w:t>
      </w:r>
      <w:proofErr w:type="spellEnd"/>
      <w:r w:rsidRPr="00B20C9E">
        <w:rPr>
          <w:rFonts w:ascii="Arial" w:hAnsi="Arial" w:cs="Arial"/>
          <w:sz w:val="22"/>
          <w:szCs w:val="22"/>
          <w:lang w:val="es-MX"/>
        </w:rPr>
        <w:t xml:space="preserve">, </w:t>
      </w:r>
      <w:r w:rsidR="005D59EE" w:rsidRPr="00B20C9E">
        <w:rPr>
          <w:rFonts w:ascii="Arial" w:hAnsi="Arial" w:cs="Arial"/>
          <w:sz w:val="22"/>
          <w:szCs w:val="22"/>
          <w:lang w:val="es-MX"/>
        </w:rPr>
        <w:t xml:space="preserve">índice de discriminación, la proporción de respuesta y el valor </w:t>
      </w:r>
      <w:proofErr w:type="spellStart"/>
      <w:r w:rsidR="005D59EE" w:rsidRPr="00B20C9E">
        <w:rPr>
          <w:rFonts w:ascii="Arial" w:hAnsi="Arial" w:cs="Arial"/>
          <w:sz w:val="22"/>
          <w:szCs w:val="22"/>
          <w:lang w:val="es-MX"/>
        </w:rPr>
        <w:t>pplus</w:t>
      </w:r>
      <w:proofErr w:type="spellEnd"/>
      <w:r w:rsidR="005D59EE" w:rsidRPr="00B20C9E">
        <w:rPr>
          <w:rFonts w:ascii="Arial" w:hAnsi="Arial" w:cs="Arial"/>
          <w:sz w:val="22"/>
          <w:szCs w:val="22"/>
          <w:lang w:val="es-MX"/>
        </w:rPr>
        <w:t xml:space="preserve"> de cada reactivo. A </w:t>
      </w:r>
      <w:proofErr w:type="gramStart"/>
      <w:r w:rsidR="005D59EE" w:rsidRPr="00B20C9E">
        <w:rPr>
          <w:rFonts w:ascii="Arial" w:hAnsi="Arial" w:cs="Arial"/>
          <w:sz w:val="22"/>
          <w:szCs w:val="22"/>
          <w:lang w:val="es-MX"/>
        </w:rPr>
        <w:t>continuación</w:t>
      </w:r>
      <w:proofErr w:type="gramEnd"/>
      <w:r w:rsidR="005D59EE" w:rsidRPr="00B20C9E">
        <w:rPr>
          <w:rFonts w:ascii="Arial" w:hAnsi="Arial" w:cs="Arial"/>
          <w:sz w:val="22"/>
          <w:szCs w:val="22"/>
          <w:lang w:val="es-MX"/>
        </w:rPr>
        <w:t xml:space="preserve"> se presentan tablas resumen con los principales valores </w:t>
      </w:r>
      <w:r w:rsidR="00D263DB">
        <w:rPr>
          <w:rFonts w:ascii="Arial" w:hAnsi="Arial" w:cs="Arial"/>
          <w:sz w:val="22"/>
          <w:szCs w:val="22"/>
          <w:lang w:val="es-MX"/>
        </w:rPr>
        <w:t>a destacar</w:t>
      </w:r>
      <w:r w:rsidR="00B20C9E">
        <w:rPr>
          <w:rFonts w:ascii="Arial" w:hAnsi="Arial" w:cs="Arial"/>
          <w:sz w:val="22"/>
          <w:szCs w:val="22"/>
          <w:lang w:val="es-MX"/>
        </w:rPr>
        <w:t>.</w:t>
      </w:r>
    </w:p>
    <w:p w:rsidR="00FD44C0" w:rsidRPr="00103119" w:rsidRDefault="00FD44C0" w:rsidP="00B20C9E">
      <w:pPr>
        <w:spacing w:line="259" w:lineRule="auto"/>
        <w:jc w:val="left"/>
        <w:rPr>
          <w:rFonts w:ascii="Arial" w:hAnsi="Arial"/>
          <w:b/>
          <w:lang w:val="es-MX"/>
        </w:rPr>
      </w:pPr>
    </w:p>
    <w:p w:rsidR="00FD44C0" w:rsidRPr="00B20C9E" w:rsidRDefault="00B20C9E" w:rsidP="00FD44C0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rFonts w:ascii="Arial" w:hAnsi="Arial"/>
        </w:rPr>
      </w:pPr>
      <w:r>
        <w:rPr>
          <w:rFonts w:ascii="Arial" w:hAnsi="Arial"/>
        </w:rPr>
        <w:t xml:space="preserve">La correlación de Pearson permite valorar la asociación entre pares de reactivos, estos valores se consideran aceptables cuando </w:t>
      </w:r>
      <w:r w:rsidR="002E6D31">
        <w:rPr>
          <w:rFonts w:ascii="Arial" w:hAnsi="Arial"/>
        </w:rPr>
        <w:t>son superiores a 0.20.</w:t>
      </w:r>
    </w:p>
    <w:tbl>
      <w:tblPr>
        <w:tblStyle w:val="Tabladecuadrcula1clara-nfasis5"/>
        <w:tblW w:w="8222" w:type="dxa"/>
        <w:jc w:val="center"/>
        <w:tblLook w:val="04A0" w:firstRow="1" w:lastRow="0" w:firstColumn="1" w:lastColumn="0" w:noHBand="0" w:noVBand="1"/>
      </w:tblPr>
      <w:tblGrid>
        <w:gridCol w:w="914"/>
        <w:gridCol w:w="7308"/>
      </w:tblGrid>
      <w:tr w:rsidR="00FD44C0" w:rsidRPr="005C00F9" w:rsidTr="004A4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FD44C0" w:rsidRDefault="00FD44C0" w:rsidP="005D1D9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lastRenderedPageBreak/>
              <w:t>Escala</w:t>
            </w:r>
            <w:proofErr w:type="spellEnd"/>
          </w:p>
        </w:tc>
        <w:tc>
          <w:tcPr>
            <w:tcW w:w="7308" w:type="dxa"/>
          </w:tcPr>
          <w:p w:rsidR="00FD44C0" w:rsidRPr="00FD44C0" w:rsidRDefault="00FD44C0" w:rsidP="005D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 w:rsidRPr="00FD44C0">
              <w:rPr>
                <w:rFonts w:ascii="Arial" w:hAnsi="Arial"/>
                <w:lang w:val="es-MX"/>
              </w:rPr>
              <w:t>Matriz de correlación de Pearson</w:t>
            </w:r>
          </w:p>
        </w:tc>
      </w:tr>
      <w:tr w:rsidR="00FD44C0" w:rsidRPr="005C00F9" w:rsidTr="004A40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Align w:val="center"/>
          </w:tcPr>
          <w:p w:rsidR="00FD44C0" w:rsidRPr="00977B16" w:rsidRDefault="00FD44C0" w:rsidP="005D1D94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ATP</w:t>
            </w:r>
          </w:p>
        </w:tc>
        <w:tc>
          <w:tcPr>
            <w:tcW w:w="7308" w:type="dxa"/>
            <w:vAlign w:val="center"/>
          </w:tcPr>
          <w:p w:rsidR="00FD44C0" w:rsidRPr="00FD44C0" w:rsidRDefault="00FD44C0" w:rsidP="005D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 w:rsidRPr="00FD44C0">
              <w:rPr>
                <w:rFonts w:ascii="Arial" w:hAnsi="Arial"/>
                <w:lang w:val="es-MX"/>
              </w:rPr>
              <w:t xml:space="preserve">Tiene valores mayores a 0.20, excepto el reactivo ATP26 con ATP3, ATP6 y ATP9 </w:t>
            </w:r>
          </w:p>
        </w:tc>
      </w:tr>
      <w:tr w:rsidR="00FD44C0" w:rsidRPr="00977B16" w:rsidTr="004A40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Align w:val="center"/>
          </w:tcPr>
          <w:p w:rsidR="00FD44C0" w:rsidRPr="00977B16" w:rsidRDefault="00FD44C0" w:rsidP="005D1D94">
            <w:pPr>
              <w:rPr>
                <w:rFonts w:ascii="Arial" w:hAnsi="Arial"/>
              </w:rPr>
            </w:pPr>
            <w:r w:rsidRPr="006B1A55">
              <w:rPr>
                <w:rFonts w:ascii="Arial" w:hAnsi="Arial"/>
                <w:b w:val="0"/>
              </w:rPr>
              <w:t>AI</w:t>
            </w:r>
          </w:p>
        </w:tc>
        <w:tc>
          <w:tcPr>
            <w:tcW w:w="7308" w:type="dxa"/>
            <w:vAlign w:val="center"/>
          </w:tcPr>
          <w:p w:rsidR="00FD44C0" w:rsidRDefault="00FD44C0" w:rsidP="005D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Tiene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valores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mayores</w:t>
            </w:r>
            <w:proofErr w:type="spellEnd"/>
            <w:r>
              <w:rPr>
                <w:rFonts w:ascii="Arial" w:hAnsi="Arial"/>
              </w:rPr>
              <w:t xml:space="preserve"> a 0.20. </w:t>
            </w:r>
          </w:p>
        </w:tc>
      </w:tr>
    </w:tbl>
    <w:p w:rsidR="00FD44C0" w:rsidRDefault="00FD44C0" w:rsidP="00E948B8">
      <w:pPr>
        <w:spacing w:before="0" w:after="0" w:line="240" w:lineRule="auto"/>
        <w:jc w:val="left"/>
      </w:pPr>
    </w:p>
    <w:p w:rsidR="003465B7" w:rsidRDefault="003465B7" w:rsidP="00E948B8">
      <w:pPr>
        <w:spacing w:before="0" w:after="0" w:line="240" w:lineRule="auto"/>
        <w:jc w:val="left"/>
      </w:pPr>
    </w:p>
    <w:p w:rsidR="00FD44C0" w:rsidRPr="002E6D31" w:rsidRDefault="002E6D31" w:rsidP="00FD44C0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rFonts w:ascii="Arial" w:hAnsi="Arial"/>
        </w:rPr>
      </w:pPr>
      <w:r w:rsidRPr="002E6D31">
        <w:rPr>
          <w:rFonts w:ascii="Arial" w:hAnsi="Arial"/>
        </w:rPr>
        <w:t>La c</w:t>
      </w:r>
      <w:r>
        <w:rPr>
          <w:rFonts w:ascii="Arial" w:hAnsi="Arial"/>
        </w:rPr>
        <w:t xml:space="preserve">onsistencia interna de los cuestionarios se valora con </w:t>
      </w:r>
      <w:r w:rsidR="00E948B8">
        <w:rPr>
          <w:rFonts w:ascii="Arial" w:hAnsi="Arial"/>
        </w:rPr>
        <w:t xml:space="preserve">el estimador de alfa de </w:t>
      </w:r>
      <w:proofErr w:type="spellStart"/>
      <w:r w:rsidR="00E948B8">
        <w:rPr>
          <w:rFonts w:ascii="Arial" w:hAnsi="Arial"/>
        </w:rPr>
        <w:t>Cronbach</w:t>
      </w:r>
      <w:proofErr w:type="spellEnd"/>
      <w:r w:rsidR="00E948B8">
        <w:rPr>
          <w:rFonts w:ascii="Arial" w:hAnsi="Arial"/>
        </w:rPr>
        <w:t xml:space="preserve">, el cual debe ser cercano a uno. </w:t>
      </w:r>
    </w:p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4693"/>
      </w:tblGrid>
      <w:tr w:rsidR="00FD44C0" w:rsidRPr="005C00F9" w:rsidTr="00CD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:rsidR="00FD44C0" w:rsidRDefault="00FD44C0" w:rsidP="005D1D9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Escala</w:t>
            </w:r>
            <w:proofErr w:type="spellEnd"/>
          </w:p>
        </w:tc>
        <w:tc>
          <w:tcPr>
            <w:tcW w:w="4693" w:type="dxa"/>
          </w:tcPr>
          <w:p w:rsidR="00FD44C0" w:rsidRPr="00FD44C0" w:rsidRDefault="00FD44C0" w:rsidP="005D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 w:rsidRPr="00FD44C0">
              <w:rPr>
                <w:rFonts w:ascii="Arial" w:hAnsi="Arial"/>
                <w:lang w:val="es-MX"/>
              </w:rPr>
              <w:t xml:space="preserve">Valor de alfa de </w:t>
            </w:r>
            <w:proofErr w:type="spellStart"/>
            <w:r w:rsidRPr="00FD44C0">
              <w:rPr>
                <w:rFonts w:ascii="Arial" w:hAnsi="Arial"/>
                <w:lang w:val="es-MX"/>
              </w:rPr>
              <w:t>Cronbach</w:t>
            </w:r>
            <w:proofErr w:type="spellEnd"/>
          </w:p>
        </w:tc>
      </w:tr>
      <w:tr w:rsidR="00FD44C0" w:rsidRPr="005C00F9" w:rsidTr="00CD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:rsidR="00FD44C0" w:rsidRPr="00977B16" w:rsidRDefault="00FD44C0" w:rsidP="005D1D94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ATP</w:t>
            </w:r>
          </w:p>
        </w:tc>
        <w:tc>
          <w:tcPr>
            <w:tcW w:w="4693" w:type="dxa"/>
            <w:vAlign w:val="center"/>
          </w:tcPr>
          <w:p w:rsidR="00FD44C0" w:rsidRPr="00FD44C0" w:rsidRDefault="00FD44C0" w:rsidP="005D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 w:rsidRPr="00FD44C0">
              <w:rPr>
                <w:rFonts w:ascii="Arial" w:hAnsi="Arial"/>
                <w:lang w:val="es-MX"/>
              </w:rPr>
              <w:t>Valor de 0.95, todos los reactivos contribuyen</w:t>
            </w:r>
          </w:p>
        </w:tc>
      </w:tr>
      <w:tr w:rsidR="00FD44C0" w:rsidRPr="005C00F9" w:rsidTr="00CD54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:rsidR="00FD44C0" w:rsidRPr="00977B16" w:rsidRDefault="00FD44C0" w:rsidP="005D1D94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AI</w:t>
            </w:r>
          </w:p>
        </w:tc>
        <w:tc>
          <w:tcPr>
            <w:tcW w:w="4693" w:type="dxa"/>
            <w:vAlign w:val="center"/>
          </w:tcPr>
          <w:p w:rsidR="00FD44C0" w:rsidRPr="00FD44C0" w:rsidRDefault="00FD44C0" w:rsidP="005D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 w:rsidRPr="00FD44C0">
              <w:rPr>
                <w:rFonts w:ascii="Arial" w:hAnsi="Arial"/>
                <w:lang w:val="es-MX"/>
              </w:rPr>
              <w:t>Valor de 0.97, todos los reactivos contribuyen</w:t>
            </w:r>
          </w:p>
        </w:tc>
      </w:tr>
    </w:tbl>
    <w:p w:rsidR="00FD44C0" w:rsidRPr="00FD44C0" w:rsidRDefault="00FD44C0" w:rsidP="00FD44C0">
      <w:pPr>
        <w:rPr>
          <w:lang w:val="es-MX"/>
        </w:rPr>
      </w:pPr>
    </w:p>
    <w:p w:rsidR="00FD44C0" w:rsidRPr="00E948B8" w:rsidRDefault="001F1268" w:rsidP="00FD44C0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rFonts w:ascii="Arial" w:hAnsi="Arial"/>
        </w:rPr>
      </w:pPr>
      <w:r>
        <w:rPr>
          <w:rFonts w:ascii="Arial" w:hAnsi="Arial"/>
        </w:rPr>
        <w:t>El índice de discriminaci</w:t>
      </w:r>
      <w:r w:rsidR="00D67157">
        <w:rPr>
          <w:rFonts w:ascii="Arial" w:hAnsi="Arial"/>
        </w:rPr>
        <w:t xml:space="preserve">ón permite distinguir </w:t>
      </w:r>
      <w:r w:rsidR="00E31783">
        <w:rPr>
          <w:rFonts w:ascii="Arial" w:hAnsi="Arial"/>
        </w:rPr>
        <w:t xml:space="preserve">los reactivos </w:t>
      </w:r>
      <w:r w:rsidR="00D67157">
        <w:rPr>
          <w:rFonts w:ascii="Arial" w:hAnsi="Arial"/>
        </w:rPr>
        <w:t xml:space="preserve">a ATP o AI con alta puntuación de los </w:t>
      </w:r>
      <w:r w:rsidR="00E31783">
        <w:rPr>
          <w:rFonts w:ascii="Arial" w:hAnsi="Arial"/>
        </w:rPr>
        <w:t xml:space="preserve">reactivos </w:t>
      </w:r>
      <w:r w:rsidR="00D67157">
        <w:rPr>
          <w:rFonts w:ascii="Arial" w:hAnsi="Arial"/>
        </w:rPr>
        <w:t>ATP o AI con baja puntuación, sus valores deben estar entre 0.3 y 0.7</w:t>
      </w:r>
      <w:r w:rsidR="00EA61AE">
        <w:rPr>
          <w:rFonts w:ascii="Arial" w:hAnsi="Arial"/>
        </w:rPr>
        <w:t xml:space="preserve"> para indicar una buena discriminaci</w:t>
      </w:r>
      <w:r w:rsidR="00641D6F">
        <w:rPr>
          <w:rFonts w:ascii="Arial" w:hAnsi="Arial"/>
        </w:rPr>
        <w:t>ón d</w:t>
      </w:r>
      <w:r w:rsidR="00EA61AE">
        <w:rPr>
          <w:rFonts w:ascii="Arial" w:hAnsi="Arial"/>
        </w:rPr>
        <w:t>el reactivo.</w:t>
      </w:r>
    </w:p>
    <w:p w:rsidR="00FD44C0" w:rsidRPr="00FD44C0" w:rsidRDefault="00FD44C0" w:rsidP="00FD44C0">
      <w:pPr>
        <w:rPr>
          <w:rFonts w:ascii="Arial" w:hAnsi="Arial"/>
          <w:lang w:val="es-MX"/>
        </w:rPr>
      </w:pPr>
    </w:p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6389"/>
      </w:tblGrid>
      <w:tr w:rsidR="00FD44C0" w:rsidTr="004A4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:rsidR="00FD44C0" w:rsidRDefault="00FD44C0" w:rsidP="005D1D94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Escala</w:t>
            </w:r>
            <w:proofErr w:type="spellEnd"/>
          </w:p>
        </w:tc>
        <w:tc>
          <w:tcPr>
            <w:tcW w:w="6389" w:type="dxa"/>
          </w:tcPr>
          <w:p w:rsidR="00FD44C0" w:rsidRDefault="00FD44C0" w:rsidP="005D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Índice</w:t>
            </w:r>
            <w:proofErr w:type="spellEnd"/>
            <w:r>
              <w:rPr>
                <w:rFonts w:ascii="Arial" w:hAnsi="Arial"/>
              </w:rPr>
              <w:t xml:space="preserve"> de </w:t>
            </w:r>
            <w:proofErr w:type="spellStart"/>
            <w:r>
              <w:rPr>
                <w:rFonts w:ascii="Arial" w:hAnsi="Arial"/>
              </w:rPr>
              <w:t>discriminación</w:t>
            </w:r>
            <w:proofErr w:type="spellEnd"/>
          </w:p>
        </w:tc>
      </w:tr>
      <w:tr w:rsidR="00FD44C0" w:rsidRPr="005C00F9" w:rsidTr="004A40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:rsidR="00FD44C0" w:rsidRPr="00977B16" w:rsidRDefault="0063609C" w:rsidP="005D1D94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ATP</w:t>
            </w:r>
          </w:p>
        </w:tc>
        <w:tc>
          <w:tcPr>
            <w:tcW w:w="6389" w:type="dxa"/>
            <w:vAlign w:val="center"/>
          </w:tcPr>
          <w:p w:rsidR="00FD44C0" w:rsidRPr="00FD44C0" w:rsidRDefault="00910045" w:rsidP="005D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Valores en el rango de 0.39 a 0.68.</w:t>
            </w:r>
          </w:p>
        </w:tc>
      </w:tr>
      <w:tr w:rsidR="00FD44C0" w:rsidRPr="005C00F9" w:rsidTr="004A40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:rsidR="00FD44C0" w:rsidRPr="009A2705" w:rsidRDefault="0063609C" w:rsidP="005D1D94">
            <w:pPr>
              <w:rPr>
                <w:rFonts w:ascii="Arial" w:hAnsi="Arial"/>
                <w:b w:val="0"/>
                <w:lang w:val="es-MX"/>
              </w:rPr>
            </w:pPr>
            <w:r w:rsidRPr="009A2705">
              <w:rPr>
                <w:rFonts w:ascii="Arial" w:hAnsi="Arial"/>
                <w:b w:val="0"/>
                <w:lang w:val="es-MX"/>
              </w:rPr>
              <w:t>AI</w:t>
            </w:r>
          </w:p>
        </w:tc>
        <w:tc>
          <w:tcPr>
            <w:tcW w:w="6389" w:type="dxa"/>
            <w:vAlign w:val="center"/>
          </w:tcPr>
          <w:p w:rsidR="00FD44C0" w:rsidRPr="00FD44C0" w:rsidRDefault="00FD44C0" w:rsidP="005D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s-MX"/>
              </w:rPr>
            </w:pPr>
            <w:r w:rsidRPr="00FD44C0">
              <w:rPr>
                <w:rFonts w:ascii="Arial" w:hAnsi="Arial"/>
                <w:lang w:val="es-MX"/>
              </w:rPr>
              <w:t xml:space="preserve">Valores </w:t>
            </w:r>
            <w:r w:rsidR="00910045">
              <w:rPr>
                <w:rFonts w:ascii="Arial" w:hAnsi="Arial"/>
                <w:lang w:val="es-MX"/>
              </w:rPr>
              <w:t>en el</w:t>
            </w:r>
            <w:r w:rsidRPr="00FD44C0">
              <w:rPr>
                <w:rFonts w:ascii="Arial" w:hAnsi="Arial"/>
                <w:lang w:val="es-MX"/>
              </w:rPr>
              <w:t xml:space="preserve"> rango de 0.</w:t>
            </w:r>
            <w:r w:rsidR="00910045">
              <w:rPr>
                <w:rFonts w:ascii="Arial" w:hAnsi="Arial"/>
                <w:lang w:val="es-MX"/>
              </w:rPr>
              <w:t>58</w:t>
            </w:r>
            <w:r w:rsidRPr="00FD44C0">
              <w:rPr>
                <w:rFonts w:ascii="Arial" w:hAnsi="Arial"/>
                <w:lang w:val="es-MX"/>
              </w:rPr>
              <w:t xml:space="preserve"> a 0.</w:t>
            </w:r>
            <w:r w:rsidR="00910045">
              <w:rPr>
                <w:rFonts w:ascii="Arial" w:hAnsi="Arial"/>
                <w:lang w:val="es-MX"/>
              </w:rPr>
              <w:t>74.</w:t>
            </w:r>
            <w:r w:rsidR="00910045" w:rsidRPr="00FD44C0">
              <w:rPr>
                <w:rFonts w:ascii="Arial" w:hAnsi="Arial"/>
                <w:lang w:val="es-MX"/>
              </w:rPr>
              <w:t xml:space="preserve"> </w:t>
            </w:r>
            <w:r w:rsidR="00910045">
              <w:rPr>
                <w:rFonts w:ascii="Arial" w:hAnsi="Arial"/>
                <w:lang w:val="es-MX"/>
              </w:rPr>
              <w:t>V</w:t>
            </w:r>
            <w:r w:rsidR="00910045" w:rsidRPr="00FD44C0">
              <w:rPr>
                <w:rFonts w:ascii="Arial" w:hAnsi="Arial"/>
                <w:lang w:val="es-MX"/>
              </w:rPr>
              <w:t>alores</w:t>
            </w:r>
            <w:r w:rsidRPr="00FD44C0">
              <w:rPr>
                <w:rFonts w:ascii="Arial" w:hAnsi="Arial"/>
                <w:lang w:val="es-MX"/>
              </w:rPr>
              <w:t xml:space="preserve"> arriba de 0.7 coloreados en rojo</w:t>
            </w:r>
            <w:r w:rsidR="00910045">
              <w:rPr>
                <w:rFonts w:ascii="Arial" w:hAnsi="Arial"/>
                <w:lang w:val="es-MX"/>
              </w:rPr>
              <w:t xml:space="preserve"> (17 reactivos).</w:t>
            </w:r>
          </w:p>
        </w:tc>
      </w:tr>
    </w:tbl>
    <w:p w:rsidR="00FD44C0" w:rsidRPr="00FD44C0" w:rsidRDefault="00FD44C0" w:rsidP="00FD44C0">
      <w:pPr>
        <w:rPr>
          <w:lang w:val="es-MX"/>
        </w:rPr>
      </w:pPr>
    </w:p>
    <w:p w:rsidR="00FD44C0" w:rsidRPr="007C77FF" w:rsidRDefault="00FD44C0" w:rsidP="00FD44C0">
      <w:pPr>
        <w:rPr>
          <w:rFonts w:ascii="Arial" w:eastAsiaTheme="minorHAnsi" w:hAnsi="Arial" w:cstheme="minorBidi"/>
          <w:sz w:val="22"/>
          <w:szCs w:val="22"/>
          <w:lang w:val="es-MX" w:eastAsia="en-US"/>
        </w:rPr>
      </w:pPr>
      <w:r w:rsidRPr="007C77FF">
        <w:rPr>
          <w:rFonts w:ascii="Arial" w:eastAsiaTheme="minorHAnsi" w:hAnsi="Arial" w:cstheme="minorBidi"/>
          <w:b/>
          <w:sz w:val="22"/>
          <w:szCs w:val="22"/>
          <w:lang w:val="es-MX" w:eastAsia="en-US"/>
        </w:rPr>
        <w:t>Nota:</w:t>
      </w:r>
      <w:r w:rsidRPr="007C77FF">
        <w:rPr>
          <w:rFonts w:ascii="Arial" w:eastAsiaTheme="minorHAnsi" w:hAnsi="Arial" w:cstheme="minorBidi"/>
          <w:sz w:val="22"/>
          <w:szCs w:val="22"/>
          <w:lang w:val="es-MX" w:eastAsia="en-US"/>
        </w:rPr>
        <w:t xml:space="preserve"> Todos los valores de p-plus están por arriba de 0.7. Lo cual indica que las respuestas </w:t>
      </w:r>
      <w:r w:rsidR="00681DF2">
        <w:rPr>
          <w:rFonts w:ascii="Arial" w:eastAsiaTheme="minorHAnsi" w:hAnsi="Arial" w:cstheme="minorBidi"/>
          <w:sz w:val="22"/>
          <w:szCs w:val="22"/>
          <w:lang w:val="es-MX" w:eastAsia="en-US"/>
        </w:rPr>
        <w:t>están</w:t>
      </w:r>
      <w:r w:rsidRPr="007C77FF">
        <w:rPr>
          <w:rFonts w:ascii="Arial" w:eastAsiaTheme="minorHAnsi" w:hAnsi="Arial" w:cstheme="minorBidi"/>
          <w:sz w:val="22"/>
          <w:szCs w:val="22"/>
          <w:lang w:val="es-MX" w:eastAsia="en-US"/>
        </w:rPr>
        <w:t xml:space="preserve"> en </w:t>
      </w:r>
      <w:r w:rsidR="00681DF2">
        <w:rPr>
          <w:rFonts w:ascii="Arial" w:eastAsiaTheme="minorHAnsi" w:hAnsi="Arial" w:cstheme="minorBidi"/>
          <w:sz w:val="22"/>
          <w:szCs w:val="22"/>
          <w:lang w:val="es-MX" w:eastAsia="en-US"/>
        </w:rPr>
        <w:t xml:space="preserve">las </w:t>
      </w:r>
      <w:proofErr w:type="gramStart"/>
      <w:r w:rsidR="00681DF2">
        <w:rPr>
          <w:rFonts w:ascii="Arial" w:eastAsiaTheme="minorHAnsi" w:hAnsi="Arial" w:cstheme="minorBidi"/>
          <w:sz w:val="22"/>
          <w:szCs w:val="22"/>
          <w:lang w:val="es-MX" w:eastAsia="en-US"/>
        </w:rPr>
        <w:t xml:space="preserve">puntuaciones  </w:t>
      </w:r>
      <w:r w:rsidRPr="007C77FF">
        <w:rPr>
          <w:rFonts w:ascii="Arial" w:eastAsiaTheme="minorHAnsi" w:hAnsi="Arial" w:cstheme="minorBidi"/>
          <w:sz w:val="22"/>
          <w:szCs w:val="22"/>
          <w:lang w:val="es-MX" w:eastAsia="en-US"/>
        </w:rPr>
        <w:t>mayor</w:t>
      </w:r>
      <w:r w:rsidR="00681DF2">
        <w:rPr>
          <w:rFonts w:ascii="Arial" w:eastAsiaTheme="minorHAnsi" w:hAnsi="Arial" w:cstheme="minorBidi"/>
          <w:sz w:val="22"/>
          <w:szCs w:val="22"/>
          <w:lang w:val="es-MX" w:eastAsia="en-US"/>
        </w:rPr>
        <w:t>es</w:t>
      </w:r>
      <w:proofErr w:type="gramEnd"/>
      <w:r w:rsidRPr="007C77FF">
        <w:rPr>
          <w:rFonts w:ascii="Arial" w:eastAsiaTheme="minorHAnsi" w:hAnsi="Arial" w:cstheme="minorBidi"/>
          <w:sz w:val="22"/>
          <w:szCs w:val="22"/>
          <w:lang w:val="es-MX" w:eastAsia="en-US"/>
        </w:rPr>
        <w:t>.</w:t>
      </w:r>
    </w:p>
    <w:p w:rsidR="00FD44C0" w:rsidRPr="007C77FF" w:rsidRDefault="00FD44C0" w:rsidP="00A9487D">
      <w:pPr>
        <w:rPr>
          <w:rFonts w:ascii="Arial" w:eastAsiaTheme="minorHAnsi" w:hAnsi="Arial" w:cstheme="minorBidi"/>
          <w:sz w:val="22"/>
          <w:szCs w:val="22"/>
          <w:lang w:val="es-MX" w:eastAsia="en-US"/>
        </w:rPr>
      </w:pPr>
    </w:p>
    <w:p w:rsidR="00FD44C0" w:rsidRPr="007C77FF" w:rsidRDefault="00FD44C0" w:rsidP="00A9487D">
      <w:pPr>
        <w:rPr>
          <w:rFonts w:ascii="Arial" w:eastAsiaTheme="minorHAnsi" w:hAnsi="Arial" w:cstheme="minorBidi"/>
          <w:sz w:val="22"/>
          <w:szCs w:val="22"/>
          <w:lang w:val="es-MX" w:eastAsia="en-US"/>
        </w:rPr>
      </w:pPr>
    </w:p>
    <w:p w:rsidR="00F856FA" w:rsidRDefault="00F856FA" w:rsidP="00F856FA">
      <w:pPr>
        <w:pStyle w:val="Ttulo1"/>
        <w:rPr>
          <w:lang w:val="es-ES_tradnl"/>
        </w:rPr>
      </w:pPr>
      <w:bookmarkStart w:id="16" w:name="_Toc492300725"/>
      <w:bookmarkStart w:id="17" w:name="_Toc492301718"/>
      <w:bookmarkStart w:id="18" w:name="_Toc492302119"/>
      <w:bookmarkEnd w:id="1"/>
      <w:r>
        <w:rPr>
          <w:lang w:val="es-ES_tradnl"/>
        </w:rPr>
        <w:lastRenderedPageBreak/>
        <w:t>Modelo Factorial Confirmatorio</w:t>
      </w:r>
      <w:bookmarkEnd w:id="16"/>
      <w:bookmarkEnd w:id="17"/>
      <w:bookmarkEnd w:id="18"/>
    </w:p>
    <w:p w:rsidR="00F856FA" w:rsidRPr="00AA7297" w:rsidRDefault="00F856FA" w:rsidP="00F856FA">
      <w:pPr>
        <w:pStyle w:val="Textito"/>
        <w:rPr>
          <w:rFonts w:asciiTheme="minorHAnsi" w:hAnsiTheme="minorHAnsi"/>
        </w:rPr>
      </w:pPr>
      <w:r>
        <w:t xml:space="preserve">El análisis factorial confirmatorio es una forma de verificar el supuesto de </w:t>
      </w:r>
      <w:proofErr w:type="spellStart"/>
      <w:r>
        <w:t>unidimensionalidad</w:t>
      </w:r>
      <w:proofErr w:type="spellEnd"/>
      <w:r>
        <w:t xml:space="preserve"> de la escala. Se hizo este análisis para dos escalas, una para los reactivos del Informe de responsabilidades profesionales del Asesor técnico pedagógico (ATP) y la otra para el Informe de responsabilidades profesionales del ATP a responder por su autoridad inmediata (AI). A </w:t>
      </w:r>
      <w:proofErr w:type="gramStart"/>
      <w:r>
        <w:t>continuación</w:t>
      </w:r>
      <w:proofErr w:type="gramEnd"/>
      <w:r>
        <w:t xml:space="preserve"> se presentan los resultados del análisis.</w:t>
      </w:r>
      <w:r w:rsidR="00FB7769">
        <w:t xml:space="preserve"> Cabe mencionar que </w:t>
      </w:r>
      <w:r w:rsidR="00B45E88">
        <w:t xml:space="preserve">los resultados </w:t>
      </w:r>
      <w:r w:rsidR="00885C31">
        <w:t xml:space="preserve">de </w:t>
      </w:r>
      <w:r w:rsidR="00FB7769">
        <w:t xml:space="preserve">la estimación del modelo </w:t>
      </w:r>
      <w:proofErr w:type="gramStart"/>
      <w:r w:rsidR="00FB7769">
        <w:t>mostr</w:t>
      </w:r>
      <w:r w:rsidR="00885C31">
        <w:t>aron</w:t>
      </w:r>
      <w:r w:rsidR="00FB7769">
        <w:t xml:space="preserve">  advertencias</w:t>
      </w:r>
      <w:proofErr w:type="gramEnd"/>
      <w:r w:rsidR="00885C31">
        <w:t>,</w:t>
      </w:r>
      <w:r w:rsidR="00840651">
        <w:t xml:space="preserve"> los reactivos tienen</w:t>
      </w:r>
      <w:r w:rsidR="00B578DA">
        <w:t xml:space="preserve"> categorías con menos del 4% de casos</w:t>
      </w:r>
      <w:r w:rsidR="00840651">
        <w:t xml:space="preserve"> y la matriz </w:t>
      </w:r>
      <w:r w:rsidR="00473AE7">
        <w:t>de correlación en la iteración inicial del algoritmo de estimación</w:t>
      </w:r>
      <w:r w:rsidR="00325BAA">
        <w:t xml:space="preserve"> </w:t>
      </w:r>
      <w:r w:rsidR="00473AE7">
        <w:t xml:space="preserve">es </w:t>
      </w:r>
      <w:r w:rsidR="00134858">
        <w:t>no definida positiva</w:t>
      </w:r>
      <w:r w:rsidR="00473AE7">
        <w:t>.</w:t>
      </w:r>
    </w:p>
    <w:p w:rsidR="00F856FA" w:rsidRPr="00707F55" w:rsidRDefault="00F856FA" w:rsidP="00F856FA">
      <w:pPr>
        <w:pStyle w:val="Textito"/>
      </w:pPr>
      <w:r w:rsidRPr="00707F55">
        <w:t xml:space="preserve">El modelo correlacionado del que se habla en este apartado corresponde al análisis factorial confirmatorio de ambas escalas (ATP y AI) en donde se estima además la correlación entre ellas, el gráfico de este modelo se encuentra en este documento y en </w:t>
      </w:r>
      <w:r>
        <w:t>el</w:t>
      </w:r>
      <w:r w:rsidRPr="00707F55">
        <w:t xml:space="preserve"> archivo de Excel que forma parte de este reporte, </w:t>
      </w:r>
      <w:r w:rsidR="00DF103F">
        <w:t xml:space="preserve">dado que contiene un gran número de variables observadas es </w:t>
      </w:r>
      <w:proofErr w:type="spellStart"/>
      <w:r w:rsidR="00DF103F">
        <w:t>importatnte</w:t>
      </w:r>
      <w:proofErr w:type="spellEnd"/>
      <w:r w:rsidR="00DF103F">
        <w:t xml:space="preserve"> incorporar una imagen que permita visualizar en un tamaño adecuado la información que contiene, por tal motivo</w:t>
      </w:r>
      <w:r w:rsidRPr="00707F55">
        <w:t xml:space="preserve"> se </w:t>
      </w:r>
      <w:r w:rsidR="00DF103F">
        <w:t>incorpora la imagen en el archivo Excel.</w:t>
      </w:r>
      <w:r w:rsidRPr="00707F55">
        <w:t xml:space="preserve">  </w:t>
      </w:r>
      <w:r w:rsidRPr="009F1C63">
        <w:rPr>
          <w:highlight w:val="yellow"/>
        </w:rPr>
        <w:t xml:space="preserve">Este modelo se estima para </w:t>
      </w:r>
      <w:r w:rsidR="00DF103F" w:rsidRPr="009F1C63">
        <w:rPr>
          <w:highlight w:val="yellow"/>
        </w:rPr>
        <w:t>indagar la asociación entre los dos cuestionarios evaluados mediante la estimación de la</w:t>
      </w:r>
      <w:r w:rsidRPr="009F1C63">
        <w:rPr>
          <w:highlight w:val="yellow"/>
        </w:rPr>
        <w:t xml:space="preserve"> correlación entre lo que responden el ATP y su AI respecto al cuestionario que ambos responden cada quién desde su perspectiva.</w:t>
      </w:r>
    </w:p>
    <w:p w:rsidR="00F856FA" w:rsidRPr="00707F55" w:rsidRDefault="00F856FA" w:rsidP="00F856FA">
      <w:pPr>
        <w:pStyle w:val="Textito"/>
      </w:pPr>
      <w:r>
        <w:t>El índi</w:t>
      </w:r>
      <w:r w:rsidRPr="00707F55">
        <w:t>ce RSMEA es 0.053</w:t>
      </w:r>
      <w:r w:rsidR="0038171F">
        <w:t xml:space="preserve"> lo que</w:t>
      </w:r>
      <w:r w:rsidRPr="00707F55">
        <w:t xml:space="preserve"> indica un ajuste cercano </w:t>
      </w:r>
      <w:sdt>
        <w:sdtPr>
          <w:id w:val="2007783308"/>
          <w:citation/>
        </w:sdtPr>
        <w:sdtEndPr/>
        <w:sdtContent>
          <w:r w:rsidRPr="00707F55">
            <w:fldChar w:fldCharType="begin"/>
          </w:r>
          <w:r w:rsidRPr="00707F55">
            <w:instrText xml:space="preserve">CITATION Bro15 \l 2058 </w:instrText>
          </w:r>
          <w:r w:rsidRPr="00707F55">
            <w:fldChar w:fldCharType="separate"/>
          </w:r>
          <w:r w:rsidRPr="00707F55">
            <w:t>(Brown, 2015)</w:t>
          </w:r>
          <w:r w:rsidRPr="00707F55">
            <w:fldChar w:fldCharType="end"/>
          </w:r>
        </w:sdtContent>
      </w:sdt>
      <w:r w:rsidRPr="00707F55">
        <w:t>.</w:t>
      </w:r>
    </w:p>
    <w:p w:rsidR="00F856FA" w:rsidRPr="00707F55" w:rsidRDefault="00F856FA" w:rsidP="00F856FA">
      <w:pPr>
        <w:pStyle w:val="Textito"/>
      </w:pPr>
      <w:r w:rsidRPr="00707F55">
        <w:t>La correlación estimada entre las dos escalas (ATP y AI) es de 0.55, lo que en análisis de ciencias sociales es una correlación</w:t>
      </w:r>
      <w:r>
        <w:t xml:space="preserve"> alta</w:t>
      </w:r>
      <w:r w:rsidRPr="00707F55">
        <w:t xml:space="preserve">.  En la siguiente tabla se muestran las correlaciones entre los errores estimados de los </w:t>
      </w:r>
      <w:proofErr w:type="spellStart"/>
      <w:r w:rsidRPr="00707F55">
        <w:t>reativos</w:t>
      </w:r>
      <w:proofErr w:type="spellEnd"/>
      <w:r w:rsidRPr="00707F55">
        <w:t xml:space="preserve"> que fueron particularmente altas según el modelo. Se observa que los reactivos 4, 13, 19, 27 y 28 de ambos cuestionarios se correlacionan, es decir, estas preguntas tienen respuestas con tendencia similar tanto para los ATP como para las AI. También es de </w:t>
      </w:r>
      <w:proofErr w:type="gramStart"/>
      <w:r w:rsidRPr="00707F55">
        <w:t>observarse  los</w:t>
      </w:r>
      <w:proofErr w:type="gramEnd"/>
      <w:r w:rsidRPr="00707F55">
        <w:t xml:space="preserve"> reactivos 19 y 13</w:t>
      </w:r>
      <w:r w:rsidR="00DB3D1F">
        <w:t>,</w:t>
      </w:r>
      <w:r w:rsidRPr="00707F55">
        <w:t xml:space="preserve"> se correlacionan </w:t>
      </w:r>
      <w:proofErr w:type="spellStart"/>
      <w:r w:rsidRPr="00707F55">
        <w:t>e</w:t>
      </w:r>
      <w:r w:rsidR="00DB3D1F">
        <w:t>tre</w:t>
      </w:r>
      <w:proofErr w:type="spellEnd"/>
      <w:r w:rsidR="00DB3D1F">
        <w:t xml:space="preserve"> sí para</w:t>
      </w:r>
      <w:r w:rsidRPr="00707F55">
        <w:t xml:space="preserve"> ambas escalas, a diferencia de los reactivos ATP18 y ATP12 que en el modelo sólo hay correlación en la escala ATP. Es de notar la alta correlación entre los reactivos 13 y 19, que se correlacionan entre los reactivos de la misma escala y con los de la otra (ATP19-ATP</w:t>
      </w:r>
      <w:proofErr w:type="gramStart"/>
      <w:r w:rsidRPr="00707F55">
        <w:t>13,AI</w:t>
      </w:r>
      <w:proofErr w:type="gramEnd"/>
      <w:r w:rsidRPr="00707F55">
        <w:t>19-AI13,AI19-ATP13, ATP19-AI13).</w:t>
      </w:r>
    </w:p>
    <w:tbl>
      <w:tblPr>
        <w:tblW w:w="3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480"/>
      </w:tblGrid>
      <w:tr w:rsidR="00F856FA" w:rsidRPr="00415918" w:rsidTr="00170CCB">
        <w:trPr>
          <w:trHeight w:val="315"/>
          <w:tblHeader/>
          <w:jc w:val="center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 w:eastAsia="es-MX"/>
              </w:rPr>
              <w:t xml:space="preserve">Reactivos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 w:eastAsia="es-MX"/>
              </w:rPr>
              <w:t>Correlación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AI4-ATP4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0.438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ATP18-ATP12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0.512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ATP19-ATP13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0.727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AI13-ATP13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0.472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AI19-ATP13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0.478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AI13-ATP19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0.474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AI19-ATP19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0.523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AI27-ATP27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0.463</w:t>
            </w:r>
          </w:p>
        </w:tc>
      </w:tr>
      <w:tr w:rsidR="00F856FA" w:rsidRPr="00415918" w:rsidTr="00170CCB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lastRenderedPageBreak/>
              <w:t>AI28-ATP28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0.375</w:t>
            </w:r>
          </w:p>
        </w:tc>
      </w:tr>
      <w:tr w:rsidR="00F856FA" w:rsidRPr="00415918" w:rsidTr="00170CCB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AI19-AI13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56FA" w:rsidRPr="00912809" w:rsidRDefault="00F856FA" w:rsidP="00170CC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912809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0.688</w:t>
            </w:r>
          </w:p>
        </w:tc>
      </w:tr>
    </w:tbl>
    <w:p w:rsidR="00F856FA" w:rsidRPr="003F730C" w:rsidRDefault="00F856FA" w:rsidP="00F856FA">
      <w:pPr>
        <w:pStyle w:val="Textito"/>
      </w:pPr>
      <w:r w:rsidRPr="003F730C">
        <w:t xml:space="preserve">Las cargas factoriales del modelo en su </w:t>
      </w:r>
      <w:proofErr w:type="spellStart"/>
      <w:r w:rsidRPr="003F730C">
        <w:t>mayoria</w:t>
      </w:r>
      <w:proofErr w:type="spellEnd"/>
      <w:r w:rsidRPr="003F730C">
        <w:t xml:space="preserve"> son superiores a 0</w:t>
      </w:r>
      <w:r>
        <w:t>.5</w:t>
      </w:r>
      <w:r w:rsidRPr="003F730C">
        <w:t xml:space="preserve">, lo que sugiere que los reactivos se asocian a un factor, es decir, a una escala. </w:t>
      </w:r>
      <w:proofErr w:type="spellStart"/>
      <w:r w:rsidRPr="003F730C">
        <w:t>Hair</w:t>
      </w:r>
      <w:proofErr w:type="spellEnd"/>
      <w:r w:rsidRPr="003F730C">
        <w:t xml:space="preserve">, Black, </w:t>
      </w:r>
      <w:proofErr w:type="spellStart"/>
      <w:r w:rsidRPr="003F730C">
        <w:t>Babin</w:t>
      </w:r>
      <w:proofErr w:type="spellEnd"/>
      <w:r w:rsidRPr="003F730C">
        <w:t xml:space="preserve"> y Anderson </w:t>
      </w:r>
      <w:sdt>
        <w:sdtPr>
          <w:id w:val="-495027831"/>
          <w:citation/>
        </w:sdtPr>
        <w:sdtEndPr/>
        <w:sdtContent>
          <w:r w:rsidRPr="003F730C">
            <w:fldChar w:fldCharType="begin"/>
          </w:r>
          <w:r w:rsidRPr="003F730C">
            <w:instrText xml:space="preserve">CITATION Hai091 \n  \t  \l 2058 </w:instrText>
          </w:r>
          <w:r w:rsidRPr="003F730C">
            <w:fldChar w:fldCharType="separate"/>
          </w:r>
          <w:r w:rsidRPr="003F730C">
            <w:t>(2009)</w:t>
          </w:r>
          <w:r w:rsidRPr="003F730C">
            <w:fldChar w:fldCharType="end"/>
          </w:r>
        </w:sdtContent>
      </w:sdt>
      <w:r w:rsidRPr="003F730C">
        <w:t xml:space="preserve"> recomiendan cargas factoriales mayor o igual a 0.5 y cargas entre 0.3 y 0.4 son mínimamente aceptables.</w:t>
      </w:r>
      <w:r>
        <w:t xml:space="preserve"> A </w:t>
      </w:r>
      <w:proofErr w:type="gramStart"/>
      <w:r>
        <w:t>continuación</w:t>
      </w:r>
      <w:proofErr w:type="gramEnd"/>
      <w:r>
        <w:t xml:space="preserve"> se hace una breve descripción de las cargas factoriales por escala.</w:t>
      </w:r>
    </w:p>
    <w:p w:rsidR="00F856FA" w:rsidRPr="003F730C" w:rsidRDefault="00F856FA" w:rsidP="00F856FA">
      <w:pPr>
        <w:pStyle w:val="Textito"/>
      </w:pPr>
      <w:r w:rsidRPr="000B52CF">
        <w:rPr>
          <w:b/>
        </w:rPr>
        <w:t>Asesor técnico pedagógico:</w:t>
      </w:r>
      <w:r>
        <w:t xml:space="preserve"> </w:t>
      </w:r>
      <w:r w:rsidRPr="003F730C">
        <w:t xml:space="preserve">La estimación de las cargas factoriales del modelo reflejan que la escala asociada a los reactivos de los ATP explica entre el 26 % y 51 % de la variabilidad de cada reactivo, esto al tener cargas entre 0.51 y 0.7 </w:t>
      </w:r>
      <w:r w:rsidRPr="006D3CC5">
        <w:rPr>
          <w:rStyle w:val="Refdenotaalpie"/>
        </w:rPr>
        <w:footnoteReference w:id="2"/>
      </w:r>
      <w:r w:rsidRPr="003F730C">
        <w:t xml:space="preserve">, salvo los reactivos ATP26 y ATP28 que sus cargas factoriales son de 0.4 y 0.47, respectivamente. </w:t>
      </w:r>
      <w:r w:rsidRPr="00611733">
        <w:rPr>
          <w:highlight w:val="yellow"/>
        </w:rPr>
        <w:t>En la mayoría de los reactivos (ATP1-ATP4, ATP6-ATP13, ATP16-ATP30) la variabilidad explicada por el modelo es menor a la variabilidad no explicada por el modelo, es decir, de estos reactivos se explica menos del 50% de su variabilidad y la estimación de su error es más grande que el valor de la carga factorial.</w:t>
      </w:r>
      <w:bookmarkStart w:id="19" w:name="_GoBack"/>
      <w:bookmarkEnd w:id="19"/>
    </w:p>
    <w:p w:rsidR="00F856FA" w:rsidRPr="000B52CF" w:rsidRDefault="00F856FA" w:rsidP="00F856FA">
      <w:pPr>
        <w:pStyle w:val="Textito"/>
      </w:pPr>
      <w:r w:rsidRPr="000B52CF">
        <w:rPr>
          <w:b/>
        </w:rPr>
        <w:t xml:space="preserve">Autoridad inmediata del asesor </w:t>
      </w:r>
      <w:proofErr w:type="spellStart"/>
      <w:r w:rsidRPr="000B52CF">
        <w:rPr>
          <w:b/>
        </w:rPr>
        <w:t>téncnico</w:t>
      </w:r>
      <w:proofErr w:type="spellEnd"/>
      <w:r w:rsidRPr="000B52CF">
        <w:rPr>
          <w:b/>
        </w:rPr>
        <w:t xml:space="preserve"> pedagógico:</w:t>
      </w:r>
      <w:r>
        <w:t xml:space="preserve"> La </w:t>
      </w:r>
      <w:r w:rsidRPr="003F730C">
        <w:t>estimación de las cargas factoriales del modelo reflejan q</w:t>
      </w:r>
      <w:r>
        <w:t>ue la escala explica entre el 34 % y 56</w:t>
      </w:r>
      <w:r w:rsidRPr="003F730C">
        <w:t xml:space="preserve"> % de la variabilidad de cada reactivo,</w:t>
      </w:r>
      <w:r>
        <w:t xml:space="preserve"> esto al tener cargas entre 0.58 y 0.75. En los reactivos AI4, AI7, AI8, AI13, AI19, AI21, AI26, AI27, AI28, AI29, AI30 l</w:t>
      </w:r>
      <w:r w:rsidRPr="003F730C">
        <w:t>a variabilidad explicada por el modelo es menor a la variabilidad no explicada por el modelo, es decir, de estos reactivos se explica menos del 50% de su variabilidad y la estimación de su error es más grande que el valor de la carga factorial.</w:t>
      </w:r>
    </w:p>
    <w:p w:rsidR="00F856FA" w:rsidRDefault="00F856FA" w:rsidP="00F856FA">
      <w:pPr>
        <w:pStyle w:val="Textito"/>
        <w:rPr>
          <w:rFonts w:ascii="Courier New" w:eastAsia="Calibri" w:hAnsi="Courier New" w:cs="Courier New"/>
          <w:sz w:val="13"/>
          <w:szCs w:val="13"/>
        </w:rPr>
      </w:pPr>
    </w:p>
    <w:p w:rsidR="00F856FA" w:rsidRPr="003B501C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rPr>
          <w:rFonts w:ascii="Courier New" w:eastAsia="Calibri" w:hAnsi="Courier New" w:cs="Courier New"/>
          <w:sz w:val="13"/>
          <w:szCs w:val="13"/>
          <w:lang w:val="es-MX" w:eastAsia="en-US"/>
        </w:rPr>
      </w:pPr>
      <w:r w:rsidRPr="004A13A0">
        <w:rPr>
          <w:rFonts w:ascii="Arial" w:hAnsi="Arial" w:cs="Arial"/>
          <w:noProof/>
          <w:sz w:val="22"/>
          <w:lang w:val="es-MX" w:eastAsia="es-MX"/>
        </w:rPr>
        <w:lastRenderedPageBreak/>
        <w:drawing>
          <wp:anchor distT="0" distB="0" distL="114300" distR="114300" simplePos="0" relativeHeight="251658246" behindDoc="1" locked="0" layoutInCell="1" allowOverlap="1" wp14:anchorId="19B9C01D" wp14:editId="060BCD37">
            <wp:simplePos x="0" y="0"/>
            <wp:positionH relativeFrom="page">
              <wp:posOffset>2028190</wp:posOffset>
            </wp:positionH>
            <wp:positionV relativeFrom="paragraph">
              <wp:posOffset>-76200</wp:posOffset>
            </wp:positionV>
            <wp:extent cx="3739515" cy="6844030"/>
            <wp:effectExtent l="0" t="0" r="0" b="0"/>
            <wp:wrapTight wrapText="bothSides">
              <wp:wrapPolygon edited="0">
                <wp:start x="0" y="0"/>
                <wp:lineTo x="0" y="21524"/>
                <wp:lineTo x="21457" y="21524"/>
                <wp:lineTo x="21457" y="0"/>
                <wp:lineTo x="0" y="0"/>
              </wp:wrapPolygon>
            </wp:wrapTight>
            <wp:docPr id="4" name="Imagen 4" descr="D:\SPD\Desempeño_2017\Sintaxis\02 Confirmatorio\Corr_ATP_AI\Modelo_correlac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D\Desempeño_2017\Sintaxis\02 Confirmatorio\Corr_ATP_AI\Modelo_correlacion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68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Default="00F856FA" w:rsidP="00F856FA">
      <w:pPr>
        <w:spacing w:before="0" w:line="259" w:lineRule="auto"/>
        <w:rPr>
          <w:rFonts w:ascii="Courier New" w:eastAsia="Calibri" w:hAnsi="Courier New" w:cs="Courier New"/>
          <w:sz w:val="13"/>
          <w:szCs w:val="13"/>
          <w:lang w:val="es-MX" w:eastAsia="en-US"/>
        </w:rPr>
      </w:pPr>
    </w:p>
    <w:p w:rsidR="00F856FA" w:rsidRPr="002D4C67" w:rsidRDefault="00F856FA" w:rsidP="00F856FA">
      <w:pPr>
        <w:spacing w:before="0" w:line="259" w:lineRule="auto"/>
        <w:rPr>
          <w:lang w:val="es-MX"/>
        </w:rPr>
      </w:pPr>
    </w:p>
    <w:p w:rsidR="00F856FA" w:rsidRPr="002D4C67" w:rsidRDefault="00F856FA" w:rsidP="00F856FA">
      <w:pPr>
        <w:spacing w:before="0" w:line="259" w:lineRule="auto"/>
        <w:rPr>
          <w:lang w:val="es-MX"/>
        </w:rPr>
      </w:pPr>
    </w:p>
    <w:p w:rsidR="00F856FA" w:rsidRPr="002D4C67" w:rsidRDefault="00F856FA" w:rsidP="00F856FA">
      <w:pPr>
        <w:spacing w:before="0" w:line="259" w:lineRule="auto"/>
        <w:rPr>
          <w:lang w:val="es-MX"/>
        </w:rPr>
      </w:pPr>
    </w:p>
    <w:p w:rsidR="00245379" w:rsidRPr="001575BE" w:rsidRDefault="00E73151" w:rsidP="001575BE">
      <w:pPr>
        <w:pStyle w:val="Textito"/>
        <w:jc w:val="center"/>
        <w:rPr>
          <w:rFonts w:ascii="Courier New" w:eastAsia="Calibri" w:hAnsi="Courier New" w:cs="Courier New"/>
          <w:sz w:val="13"/>
          <w:szCs w:val="13"/>
        </w:rPr>
      </w:pPr>
      <w:r>
        <w:t>El índi</w:t>
      </w:r>
      <w:r w:rsidR="00F856FA" w:rsidRPr="00707F55">
        <w:t>ce RSMEA es 0.053</w:t>
      </w:r>
      <w:r w:rsidR="00F856FA">
        <w:t>.</w:t>
      </w:r>
    </w:p>
    <w:p w:rsidR="00BC3C4E" w:rsidRDefault="00BC3C4E">
      <w:pPr>
        <w:spacing w:before="0" w:after="0" w:line="240" w:lineRule="auto"/>
        <w:rPr>
          <w:rFonts w:ascii="Arial" w:hAnsi="Arial" w:cs="Arial"/>
          <w:lang w:val="es-MX"/>
        </w:rPr>
      </w:pPr>
    </w:p>
    <w:p w:rsidR="00BC3C4E" w:rsidRPr="00236EDC" w:rsidRDefault="00BC3C4E">
      <w:pPr>
        <w:spacing w:before="0" w:after="0" w:line="240" w:lineRule="auto"/>
        <w:rPr>
          <w:rFonts w:ascii="Arial" w:hAnsi="Arial" w:cs="Arial"/>
          <w:lang w:val="es-MX"/>
        </w:rPr>
      </w:pPr>
    </w:p>
    <w:p w:rsidR="004E2F87" w:rsidRPr="001575BE" w:rsidRDefault="004E2F87" w:rsidP="005064FA">
      <w:pPr>
        <w:pStyle w:val="Ttulo1"/>
        <w:rPr>
          <w:lang w:val="es-ES_tradnl"/>
        </w:rPr>
      </w:pPr>
      <w:bookmarkStart w:id="20" w:name="_Toc492043202"/>
      <w:bookmarkStart w:id="21" w:name="_Toc492280975"/>
      <w:bookmarkStart w:id="22" w:name="_Toc492282214"/>
      <w:bookmarkStart w:id="23" w:name="_Toc492300726"/>
      <w:bookmarkStart w:id="24" w:name="_Toc492301719"/>
      <w:bookmarkStart w:id="25" w:name="_Toc492302120"/>
      <w:r w:rsidRPr="001575BE">
        <w:rPr>
          <w:lang w:val="es-ES_tradnl"/>
        </w:rPr>
        <w:lastRenderedPageBreak/>
        <w:t>El modelo de medición</w:t>
      </w:r>
      <w:bookmarkEnd w:id="20"/>
      <w:bookmarkEnd w:id="21"/>
      <w:bookmarkEnd w:id="22"/>
      <w:bookmarkEnd w:id="23"/>
      <w:bookmarkEnd w:id="24"/>
      <w:bookmarkEnd w:id="25"/>
    </w:p>
    <w:p w:rsidR="004E2F87" w:rsidRDefault="00236EDC" w:rsidP="004E2F8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Para formar la escala se emple</w:t>
      </w:r>
      <w:r w:rsidR="00DE1F74">
        <w:rPr>
          <w:rFonts w:ascii="Arial" w:hAnsi="Arial" w:cs="Arial"/>
          <w:sz w:val="22"/>
          <w:szCs w:val="22"/>
          <w:lang w:val="es-MX"/>
        </w:rPr>
        <w:t>ó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el Modelo de </w:t>
      </w:r>
      <w:proofErr w:type="spellStart"/>
      <w:r w:rsidR="004E2F87" w:rsidRPr="000D7D6E">
        <w:rPr>
          <w:rFonts w:ascii="Arial" w:hAnsi="Arial" w:cs="Arial"/>
          <w:sz w:val="22"/>
          <w:szCs w:val="22"/>
          <w:lang w:val="es-MX"/>
        </w:rPr>
        <w:t>Rasch</w:t>
      </w:r>
      <w:proofErr w:type="spellEnd"/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 de Crédito Parcial (MCP) </w:t>
      </w:r>
      <w:r>
        <w:rPr>
          <w:rFonts w:ascii="Arial" w:hAnsi="Arial" w:cs="Arial"/>
          <w:sz w:val="22"/>
          <w:szCs w:val="22"/>
          <w:lang w:val="es-MX"/>
        </w:rPr>
        <w:t xml:space="preserve">basado en la teoría de respuesta al ítem </w:t>
      </w:r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descrito por </w:t>
      </w:r>
      <w:proofErr w:type="spellStart"/>
      <w:r w:rsidR="004E2F87" w:rsidRPr="000D7D6E">
        <w:rPr>
          <w:rFonts w:ascii="Arial" w:hAnsi="Arial" w:cs="Arial"/>
          <w:sz w:val="22"/>
          <w:szCs w:val="22"/>
          <w:lang w:val="es-MX"/>
        </w:rPr>
        <w:t>Wu</w:t>
      </w:r>
      <w:proofErr w:type="spellEnd"/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 y otros </w:t>
      </w:r>
      <w:sdt>
        <w:sdtPr>
          <w:rPr>
            <w:rFonts w:ascii="Arial" w:hAnsi="Arial" w:cs="Arial"/>
            <w:sz w:val="22"/>
            <w:szCs w:val="22"/>
            <w:lang w:val="es-MX"/>
          </w:rPr>
          <w:id w:val="967628738"/>
          <w:citation/>
        </w:sdtPr>
        <w:sdtEndPr/>
        <w:sdtContent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begin"/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instrText xml:space="preserve">CITATION WuM07 \n  \t  \l 2058 </w:instrText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separate"/>
          </w:r>
          <w:r w:rsidR="007C698B" w:rsidRPr="007C698B">
            <w:rPr>
              <w:rFonts w:ascii="Arial" w:hAnsi="Arial" w:cs="Arial"/>
              <w:noProof/>
              <w:sz w:val="22"/>
              <w:szCs w:val="22"/>
              <w:lang w:val="es-MX"/>
            </w:rPr>
            <w:t>(2007)</w:t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end"/>
          </w:r>
        </w:sdtContent>
      </w:sdt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, utilizando el Software </w:t>
      </w:r>
      <w:proofErr w:type="spellStart"/>
      <w:r w:rsidR="004E2F87" w:rsidRPr="000D7D6E">
        <w:rPr>
          <w:rFonts w:ascii="Arial" w:hAnsi="Arial" w:cs="Arial"/>
          <w:sz w:val="22"/>
          <w:szCs w:val="22"/>
          <w:lang w:val="es-MX"/>
        </w:rPr>
        <w:t>ConQuest</w:t>
      </w:r>
      <w:proofErr w:type="spellEnd"/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 4 </w:t>
      </w:r>
      <w:sdt>
        <w:sdtPr>
          <w:rPr>
            <w:rFonts w:ascii="Arial" w:hAnsi="Arial" w:cs="Arial"/>
            <w:sz w:val="22"/>
            <w:szCs w:val="22"/>
            <w:lang w:val="es-MX"/>
          </w:rPr>
          <w:id w:val="1430853213"/>
          <w:citation/>
        </w:sdtPr>
        <w:sdtEndPr/>
        <w:sdtContent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begin"/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instrText xml:space="preserve"> CITATION Ada15 \l 2058 </w:instrText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separate"/>
          </w:r>
          <w:r w:rsidR="007C698B" w:rsidRPr="007C698B">
            <w:rPr>
              <w:rFonts w:ascii="Arial" w:hAnsi="Arial" w:cs="Arial"/>
              <w:noProof/>
              <w:sz w:val="22"/>
              <w:szCs w:val="22"/>
              <w:lang w:val="es-MX"/>
            </w:rPr>
            <w:t>(Adams, Wu, &amp; Wilson, 2015)</w:t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end"/>
          </w:r>
        </w:sdtContent>
      </w:sdt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. De </w:t>
      </w:r>
      <w:r w:rsidR="00620312" w:rsidRPr="000D7D6E">
        <w:rPr>
          <w:rFonts w:ascii="Arial" w:hAnsi="Arial" w:cs="Arial"/>
          <w:sz w:val="22"/>
          <w:szCs w:val="22"/>
          <w:lang w:val="es-MX"/>
        </w:rPr>
        <w:t>ma</w:t>
      </w:r>
      <w:r w:rsidR="004E2F87" w:rsidRPr="000D7D6E">
        <w:rPr>
          <w:rFonts w:ascii="Arial" w:hAnsi="Arial" w:cs="Arial"/>
          <w:sz w:val="22"/>
          <w:szCs w:val="22"/>
          <w:lang w:val="es-MX"/>
        </w:rPr>
        <w:t xml:space="preserve">nera similar a lo que se describe en el Reporte Técnico de PISA, Capítulo 16 </w:t>
      </w:r>
      <w:sdt>
        <w:sdtPr>
          <w:rPr>
            <w:rFonts w:ascii="Arial" w:hAnsi="Arial" w:cs="Arial"/>
            <w:sz w:val="22"/>
            <w:szCs w:val="22"/>
            <w:lang w:val="es-MX"/>
          </w:rPr>
          <w:id w:val="1100154829"/>
          <w:citation/>
        </w:sdtPr>
        <w:sdtEndPr/>
        <w:sdtContent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begin"/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instrText xml:space="preserve"> CITATION OEC09 \l 2058 </w:instrText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separate"/>
          </w:r>
          <w:r w:rsidR="007C698B" w:rsidRPr="007C698B">
            <w:rPr>
              <w:rFonts w:ascii="Arial" w:hAnsi="Arial" w:cs="Arial"/>
              <w:noProof/>
              <w:sz w:val="22"/>
              <w:szCs w:val="22"/>
              <w:lang w:val="es-MX"/>
            </w:rPr>
            <w:t>(OECD, 2009)</w:t>
          </w:r>
          <w:r w:rsidR="004E2F87" w:rsidRPr="000D7D6E">
            <w:rPr>
              <w:rFonts w:ascii="Arial" w:hAnsi="Arial" w:cs="Arial"/>
              <w:sz w:val="22"/>
              <w:szCs w:val="22"/>
              <w:lang w:val="es-MX"/>
            </w:rPr>
            <w:fldChar w:fldCharType="end"/>
          </w:r>
        </w:sdtContent>
      </w:sdt>
      <w:r w:rsidR="004E2F87" w:rsidRPr="000D7D6E">
        <w:rPr>
          <w:rFonts w:ascii="Arial" w:hAnsi="Arial" w:cs="Arial"/>
          <w:sz w:val="22"/>
          <w:szCs w:val="22"/>
          <w:lang w:val="es-MX"/>
        </w:rPr>
        <w:t>.</w:t>
      </w:r>
    </w:p>
    <w:p w:rsidR="00F11654" w:rsidRPr="001575BE" w:rsidRDefault="00F11654" w:rsidP="00F11654">
      <w:pPr>
        <w:pStyle w:val="Ttulo1"/>
        <w:rPr>
          <w:lang w:val="es-ES_tradnl"/>
        </w:rPr>
      </w:pPr>
      <w:bookmarkStart w:id="26" w:name="_Toc492043203"/>
      <w:bookmarkStart w:id="27" w:name="_Toc492280976"/>
      <w:bookmarkStart w:id="28" w:name="_Toc492282215"/>
      <w:bookmarkStart w:id="29" w:name="_Toc492300727"/>
      <w:bookmarkStart w:id="30" w:name="_Toc492301720"/>
      <w:bookmarkStart w:id="31" w:name="_Toc492302121"/>
      <w:r w:rsidRPr="001575BE">
        <w:rPr>
          <w:lang w:val="es-ES_tradnl"/>
        </w:rPr>
        <w:t>Parámetros del Modelo de Crédito Parcial (</w:t>
      </w:r>
      <w:r w:rsidR="001C2C81" w:rsidRPr="001575BE">
        <w:rPr>
          <w:lang w:val="es-ES_tradnl"/>
        </w:rPr>
        <w:t>MCP</w:t>
      </w:r>
      <w:r w:rsidRPr="001575BE">
        <w:rPr>
          <w:lang w:val="es-ES_tradnl"/>
        </w:rPr>
        <w:t>)</w:t>
      </w:r>
      <w:bookmarkEnd w:id="26"/>
      <w:bookmarkEnd w:id="27"/>
      <w:bookmarkEnd w:id="28"/>
      <w:bookmarkEnd w:id="29"/>
      <w:bookmarkEnd w:id="30"/>
      <w:bookmarkEnd w:id="31"/>
    </w:p>
    <w:p w:rsidR="00776FA1" w:rsidRPr="00776FA1" w:rsidRDefault="00776FA1" w:rsidP="00776FA1">
      <w:pPr>
        <w:rPr>
          <w:lang w:val="es-ES_tradnl"/>
        </w:rPr>
      </w:pPr>
    </w:p>
    <w:p w:rsidR="00AB64ED" w:rsidRPr="00A567E5" w:rsidRDefault="00F32119" w:rsidP="00FC547F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  <w:r w:rsidRPr="002268C8">
        <w:rPr>
          <w:rFonts w:ascii="Arial" w:hAnsi="Arial" w:cs="Arial"/>
          <w:sz w:val="22"/>
          <w:lang w:val="es-ES_tradnl"/>
        </w:rPr>
        <w:t>La</w:t>
      </w:r>
      <w:r>
        <w:rPr>
          <w:rFonts w:ascii="Arial" w:hAnsi="Arial" w:cs="Arial"/>
          <w:sz w:val="22"/>
          <w:lang w:val="es-ES_tradnl"/>
        </w:rPr>
        <w:t>s</w:t>
      </w:r>
      <w:r w:rsidRPr="002268C8">
        <w:rPr>
          <w:rFonts w:ascii="Arial" w:hAnsi="Arial" w:cs="Arial"/>
          <w:sz w:val="22"/>
          <w:lang w:val="es-ES_tradnl"/>
        </w:rPr>
        <w:t xml:space="preserve"> tabla</w:t>
      </w:r>
      <w:r w:rsidR="00B66D1B">
        <w:rPr>
          <w:rFonts w:ascii="Arial" w:hAnsi="Arial" w:cs="Arial"/>
          <w:sz w:val="22"/>
          <w:lang w:val="es-ES_tradnl"/>
        </w:rPr>
        <w:t>s</w:t>
      </w:r>
      <w:r w:rsidRPr="002268C8">
        <w:rPr>
          <w:rFonts w:ascii="Arial" w:hAnsi="Arial" w:cs="Arial"/>
          <w:sz w:val="22"/>
          <w:lang w:val="es-ES_tradnl"/>
        </w:rPr>
        <w:t xml:space="preserve"> </w:t>
      </w:r>
      <w:r w:rsidR="008F6EE7">
        <w:rPr>
          <w:rFonts w:ascii="Arial" w:hAnsi="Arial" w:cs="Arial"/>
          <w:sz w:val="22"/>
          <w:lang w:val="es-ES_tradnl"/>
        </w:rPr>
        <w:t xml:space="preserve">de la siguiente página </w:t>
      </w:r>
      <w:r w:rsidRPr="002268C8">
        <w:rPr>
          <w:rFonts w:ascii="Arial" w:hAnsi="Arial" w:cs="Arial"/>
          <w:sz w:val="22"/>
          <w:lang w:val="es-ES_tradnl"/>
        </w:rPr>
        <w:t>presenta</w:t>
      </w:r>
      <w:r>
        <w:rPr>
          <w:rFonts w:ascii="Arial" w:hAnsi="Arial" w:cs="Arial"/>
          <w:sz w:val="22"/>
          <w:lang w:val="es-ES_tradnl"/>
        </w:rPr>
        <w:t>n</w:t>
      </w:r>
      <w:r w:rsidRPr="002268C8">
        <w:rPr>
          <w:rFonts w:ascii="Arial" w:hAnsi="Arial" w:cs="Arial"/>
          <w:sz w:val="22"/>
          <w:lang w:val="es-ES_tradnl"/>
        </w:rPr>
        <w:t xml:space="preserve"> los </w:t>
      </w:r>
      <w:r w:rsidR="00B17DD7">
        <w:rPr>
          <w:rFonts w:ascii="Arial" w:hAnsi="Arial" w:cs="Arial"/>
          <w:sz w:val="22"/>
          <w:lang w:val="es-ES_tradnl"/>
        </w:rPr>
        <w:t>resultados obtenidos</w:t>
      </w:r>
      <w:r w:rsidR="00D15F9F">
        <w:rPr>
          <w:rFonts w:ascii="Arial" w:hAnsi="Arial" w:cs="Arial"/>
          <w:sz w:val="22"/>
          <w:lang w:val="es-ES_tradnl"/>
        </w:rPr>
        <w:t xml:space="preserve"> </w:t>
      </w:r>
      <w:r w:rsidR="00991F0C" w:rsidRPr="002268C8">
        <w:rPr>
          <w:rFonts w:ascii="Arial" w:hAnsi="Arial" w:cs="Arial"/>
          <w:sz w:val="22"/>
          <w:lang w:val="es-ES_tradnl"/>
        </w:rPr>
        <w:t>del MCP</w:t>
      </w:r>
      <w:r w:rsidR="00991F0C">
        <w:rPr>
          <w:rFonts w:ascii="Arial" w:hAnsi="Arial" w:cs="Arial"/>
          <w:sz w:val="22"/>
          <w:lang w:val="es-ES_tradnl"/>
        </w:rPr>
        <w:t xml:space="preserve"> que son: </w:t>
      </w:r>
      <w:r w:rsidR="00D15F9F">
        <w:rPr>
          <w:rFonts w:ascii="Arial" w:hAnsi="Arial" w:cs="Arial"/>
          <w:sz w:val="22"/>
          <w:lang w:val="es-ES_tradnl"/>
        </w:rPr>
        <w:t xml:space="preserve">el número de casos, los valores </w:t>
      </w:r>
      <w:proofErr w:type="spellStart"/>
      <w:r w:rsidR="00D15F9F">
        <w:rPr>
          <w:rFonts w:ascii="Arial" w:hAnsi="Arial" w:cs="Arial"/>
          <w:sz w:val="22"/>
          <w:lang w:val="es-ES_tradnl"/>
        </w:rPr>
        <w:t>infit</w:t>
      </w:r>
      <w:proofErr w:type="spellEnd"/>
      <w:r w:rsidR="00D15F9F">
        <w:rPr>
          <w:rFonts w:ascii="Arial" w:hAnsi="Arial" w:cs="Arial"/>
          <w:sz w:val="22"/>
          <w:lang w:val="es-ES_tradnl"/>
        </w:rPr>
        <w:t xml:space="preserve"> y </w:t>
      </w:r>
      <w:r w:rsidR="00DE011D">
        <w:rPr>
          <w:rFonts w:ascii="Arial" w:hAnsi="Arial" w:cs="Arial"/>
          <w:sz w:val="22"/>
          <w:lang w:val="es-ES_tradnl"/>
        </w:rPr>
        <w:t xml:space="preserve">el puntaje promedio </w:t>
      </w:r>
      <w:r w:rsidR="00D15F9F">
        <w:rPr>
          <w:rFonts w:ascii="Arial" w:hAnsi="Arial" w:cs="Arial"/>
          <w:sz w:val="22"/>
          <w:lang w:val="es-ES_tradnl"/>
        </w:rPr>
        <w:t>para cada reactivo</w:t>
      </w:r>
      <w:r w:rsidR="00991F0C">
        <w:rPr>
          <w:rFonts w:ascii="Arial" w:hAnsi="Arial" w:cs="Arial"/>
          <w:sz w:val="22"/>
          <w:lang w:val="es-ES_tradnl"/>
        </w:rPr>
        <w:t xml:space="preserve"> por cada categoría</w:t>
      </w:r>
      <w:r w:rsidR="00D15F9F">
        <w:rPr>
          <w:rFonts w:ascii="Arial" w:hAnsi="Arial" w:cs="Arial"/>
          <w:sz w:val="22"/>
          <w:lang w:val="es-ES_tradnl"/>
        </w:rPr>
        <w:t xml:space="preserve">. El reactivo </w:t>
      </w:r>
      <w:r w:rsidR="00C53D6A">
        <w:rPr>
          <w:rFonts w:ascii="Arial" w:hAnsi="Arial" w:cs="Arial"/>
          <w:sz w:val="22"/>
          <w:lang w:val="es-ES_tradnl"/>
        </w:rPr>
        <w:t>ATP</w:t>
      </w:r>
      <w:r w:rsidR="00D15F9F">
        <w:rPr>
          <w:rFonts w:ascii="Arial" w:hAnsi="Arial" w:cs="Arial"/>
          <w:sz w:val="22"/>
          <w:lang w:val="es-ES_tradnl"/>
        </w:rPr>
        <w:t>26 correspondiente a la pregunta 26 no presentó respuesta en la categoría 1.</w:t>
      </w:r>
      <w:r w:rsidRPr="002268C8">
        <w:rPr>
          <w:rFonts w:ascii="Arial" w:hAnsi="Arial" w:cs="Arial"/>
          <w:sz w:val="22"/>
          <w:lang w:val="es-ES_tradnl"/>
        </w:rPr>
        <w:t xml:space="preserve"> </w:t>
      </w:r>
      <w:r w:rsidR="00A567E5">
        <w:rPr>
          <w:rFonts w:ascii="Arial" w:hAnsi="Arial" w:cs="Arial"/>
          <w:sz w:val="22"/>
          <w:lang w:val="es-MX"/>
        </w:rPr>
        <w:t>E</w:t>
      </w:r>
      <w:r w:rsidR="00FC547F" w:rsidRPr="00FC547F">
        <w:rPr>
          <w:rFonts w:ascii="Arial" w:hAnsi="Arial" w:cs="Arial"/>
          <w:sz w:val="22"/>
          <w:lang w:val="es-MX"/>
        </w:rPr>
        <w:t>n cuanto a todos los demás reactivos, las primeras dos y en algunos hasta la tercer categor</w:t>
      </w:r>
      <w:r w:rsidR="00FC547F">
        <w:rPr>
          <w:rFonts w:ascii="Arial" w:hAnsi="Arial" w:cs="Arial"/>
          <w:sz w:val="22"/>
          <w:lang w:val="es-MX"/>
        </w:rPr>
        <w:t>ía, presentan menos de 10 respuestas</w:t>
      </w:r>
      <w:r w:rsidR="003B02EC">
        <w:rPr>
          <w:rFonts w:ascii="Arial" w:hAnsi="Arial" w:cs="Arial"/>
          <w:sz w:val="22"/>
          <w:lang w:val="es-MX"/>
        </w:rPr>
        <w:t xml:space="preserve"> </w:t>
      </w:r>
      <w:r w:rsidR="00FC547F">
        <w:rPr>
          <w:rFonts w:ascii="Arial" w:hAnsi="Arial" w:cs="Arial"/>
          <w:sz w:val="22"/>
          <w:lang w:val="es-MX"/>
        </w:rPr>
        <w:t xml:space="preserve">lo que da lugar a que los umbrales sean </w:t>
      </w:r>
      <w:proofErr w:type="spellStart"/>
      <w:r w:rsidR="00FC547F">
        <w:rPr>
          <w:rFonts w:ascii="Arial" w:hAnsi="Arial" w:cs="Arial"/>
          <w:sz w:val="22"/>
          <w:lang w:val="es-MX"/>
        </w:rPr>
        <w:t>probremente</w:t>
      </w:r>
      <w:proofErr w:type="spellEnd"/>
      <w:r w:rsidR="00FC547F">
        <w:rPr>
          <w:rFonts w:ascii="Arial" w:hAnsi="Arial" w:cs="Arial"/>
          <w:sz w:val="22"/>
          <w:lang w:val="es-MX"/>
        </w:rPr>
        <w:t xml:space="preserve"> estimados y potencialmente inestables </w:t>
      </w:r>
      <w:sdt>
        <w:sdtPr>
          <w:rPr>
            <w:rFonts w:ascii="Arial" w:hAnsi="Arial" w:cs="Arial"/>
            <w:sz w:val="22"/>
            <w:lang w:val="es-MX"/>
          </w:rPr>
          <w:id w:val="-363442931"/>
          <w:citation/>
        </w:sdtPr>
        <w:sdtEndPr/>
        <w:sdtContent>
          <w:r w:rsidR="00FC547F">
            <w:rPr>
              <w:rFonts w:ascii="Arial" w:hAnsi="Arial" w:cs="Arial"/>
              <w:sz w:val="22"/>
              <w:lang w:val="es-MX"/>
            </w:rPr>
            <w:fldChar w:fldCharType="begin"/>
          </w:r>
          <w:r w:rsidR="00FC547F">
            <w:rPr>
              <w:rFonts w:ascii="Arial" w:hAnsi="Arial" w:cs="Arial"/>
              <w:sz w:val="22"/>
              <w:lang w:val="es-MX"/>
            </w:rPr>
            <w:instrText xml:space="preserve"> CITATION Dim12 \l 2058 </w:instrText>
          </w:r>
          <w:r w:rsidR="00FC547F">
            <w:rPr>
              <w:rFonts w:ascii="Arial" w:hAnsi="Arial" w:cs="Arial"/>
              <w:sz w:val="22"/>
              <w:lang w:val="es-MX"/>
            </w:rPr>
            <w:fldChar w:fldCharType="separate"/>
          </w:r>
          <w:r w:rsidR="00FC547F" w:rsidRPr="00FC547F">
            <w:rPr>
              <w:rFonts w:ascii="Arial" w:hAnsi="Arial" w:cs="Arial"/>
              <w:noProof/>
              <w:sz w:val="22"/>
              <w:lang w:val="es-MX"/>
            </w:rPr>
            <w:t>(Dimitrov, 2012)</w:t>
          </w:r>
          <w:r w:rsidR="00FC547F">
            <w:rPr>
              <w:rFonts w:ascii="Arial" w:hAnsi="Arial" w:cs="Arial"/>
              <w:sz w:val="22"/>
              <w:lang w:val="es-MX"/>
            </w:rPr>
            <w:fldChar w:fldCharType="end"/>
          </w:r>
        </w:sdtContent>
      </w:sdt>
      <w:r w:rsidR="00FC547F" w:rsidRPr="00FC547F">
        <w:rPr>
          <w:rFonts w:ascii="Arial" w:eastAsiaTheme="minorHAnsi" w:hAnsi="Arial" w:cstheme="minorBidi"/>
          <w:sz w:val="22"/>
          <w:szCs w:val="22"/>
          <w:lang w:val="es-MX" w:eastAsia="en-US"/>
        </w:rPr>
        <w:t>.</w:t>
      </w:r>
      <w:r w:rsidR="003B02EC">
        <w:rPr>
          <w:rFonts w:ascii="Arial" w:eastAsiaTheme="minorHAnsi" w:hAnsi="Arial" w:cstheme="minorBidi"/>
          <w:sz w:val="22"/>
          <w:szCs w:val="22"/>
          <w:lang w:val="es-MX" w:eastAsia="en-US"/>
        </w:rPr>
        <w:t xml:space="preserve"> Esto último se puede verificar en el archivo Excel.</w:t>
      </w:r>
    </w:p>
    <w:p w:rsidR="00FC547F" w:rsidRPr="00FC547F" w:rsidRDefault="00FC547F" w:rsidP="00FC547F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eastAsiaTheme="minorHAnsi" w:hAnsi="Arial" w:cstheme="minorBidi"/>
          <w:sz w:val="22"/>
          <w:szCs w:val="22"/>
          <w:lang w:val="es-MX" w:eastAsia="en-US"/>
        </w:rPr>
      </w:pPr>
    </w:p>
    <w:p w:rsidR="000F36B1" w:rsidRDefault="00564917" w:rsidP="00F32119">
      <w:pPr>
        <w:rPr>
          <w:rFonts w:ascii="Arial" w:hAnsi="Arial" w:cs="Arial"/>
          <w:sz w:val="22"/>
          <w:lang w:val="es-ES_tradnl"/>
        </w:rPr>
      </w:pPr>
      <w:r w:rsidRPr="008A38EF">
        <w:rPr>
          <w:rFonts w:ascii="Arial" w:hAnsi="Arial" w:cs="Arial"/>
          <w:sz w:val="22"/>
          <w:lang w:val="es-ES_tradnl"/>
        </w:rPr>
        <w:t xml:space="preserve">El </w:t>
      </w:r>
      <w:proofErr w:type="spellStart"/>
      <w:r w:rsidRPr="008A38EF">
        <w:rPr>
          <w:rFonts w:ascii="Arial" w:hAnsi="Arial" w:cs="Arial"/>
          <w:sz w:val="22"/>
          <w:lang w:val="es-ES_tradnl"/>
        </w:rPr>
        <w:t>infit</w:t>
      </w:r>
      <w:proofErr w:type="spellEnd"/>
      <w:r w:rsidRPr="008A38EF">
        <w:rPr>
          <w:rFonts w:ascii="Arial" w:hAnsi="Arial" w:cs="Arial"/>
          <w:sz w:val="22"/>
          <w:lang w:val="es-ES_tradnl"/>
        </w:rPr>
        <w:t xml:space="preserve"> es un estadístico que proporciona información sobre que tanto se ajustan los datos al modelo teórico. Se espera tener valores cercanos a uno, Wilson </w:t>
      </w:r>
      <w:sdt>
        <w:sdtPr>
          <w:rPr>
            <w:rFonts w:ascii="Arial" w:hAnsi="Arial" w:cs="Arial"/>
            <w:sz w:val="22"/>
            <w:lang w:val="es-ES_tradnl"/>
          </w:rPr>
          <w:id w:val="494922240"/>
          <w:citation/>
        </w:sdtPr>
        <w:sdtEndPr/>
        <w:sdtContent>
          <w:r w:rsidRPr="008A38EF">
            <w:rPr>
              <w:rFonts w:ascii="Arial" w:hAnsi="Arial" w:cs="Arial"/>
              <w:sz w:val="22"/>
              <w:lang w:val="es-ES_tradnl"/>
            </w:rPr>
            <w:fldChar w:fldCharType="begin"/>
          </w:r>
          <w:r w:rsidRPr="008A38EF">
            <w:rPr>
              <w:rFonts w:ascii="Arial" w:hAnsi="Arial" w:cs="Arial"/>
              <w:sz w:val="22"/>
              <w:lang w:val="es-ES_tradnl"/>
            </w:rPr>
            <w:instrText xml:space="preserve">CITATION Wil04 \n  \t  \l 2058 </w:instrText>
          </w:r>
          <w:r w:rsidRPr="008A38EF">
            <w:rPr>
              <w:rFonts w:ascii="Arial" w:hAnsi="Arial" w:cs="Arial"/>
              <w:sz w:val="22"/>
              <w:lang w:val="es-ES_tradnl"/>
            </w:rPr>
            <w:fldChar w:fldCharType="separate"/>
          </w:r>
          <w:r w:rsidRPr="008A38EF">
            <w:rPr>
              <w:rFonts w:ascii="Arial" w:hAnsi="Arial" w:cs="Arial"/>
              <w:sz w:val="22"/>
              <w:lang w:val="es-ES_tradnl"/>
            </w:rPr>
            <w:t>(2005)</w:t>
          </w:r>
          <w:r w:rsidRPr="008A38EF">
            <w:rPr>
              <w:rFonts w:ascii="Arial" w:hAnsi="Arial" w:cs="Arial"/>
              <w:sz w:val="22"/>
              <w:lang w:val="es-ES_tradnl"/>
            </w:rPr>
            <w:fldChar w:fldCharType="end"/>
          </w:r>
        </w:sdtContent>
      </w:sdt>
      <w:r w:rsidRPr="008A38EF">
        <w:rPr>
          <w:rFonts w:ascii="Arial" w:hAnsi="Arial" w:cs="Arial"/>
          <w:sz w:val="22"/>
          <w:lang w:val="es-ES_tradnl"/>
        </w:rPr>
        <w:t xml:space="preserve"> plantea </w:t>
      </w:r>
      <w:r w:rsidR="00B17DD7" w:rsidRPr="008A38EF">
        <w:rPr>
          <w:rFonts w:ascii="Arial" w:hAnsi="Arial" w:cs="Arial"/>
          <w:sz w:val="22"/>
          <w:lang w:val="es-ES_tradnl"/>
        </w:rPr>
        <w:t>que los valores aceptables</w:t>
      </w:r>
      <w:r w:rsidRPr="008A38EF">
        <w:rPr>
          <w:rFonts w:ascii="Arial" w:hAnsi="Arial" w:cs="Arial"/>
          <w:sz w:val="22"/>
          <w:lang w:val="es-ES_tradnl"/>
        </w:rPr>
        <w:t xml:space="preserve"> para el </w:t>
      </w:r>
      <w:proofErr w:type="spellStart"/>
      <w:r w:rsidRPr="008A38EF">
        <w:rPr>
          <w:rFonts w:ascii="Arial" w:hAnsi="Arial" w:cs="Arial"/>
          <w:sz w:val="22"/>
          <w:lang w:val="es-ES_tradnl"/>
        </w:rPr>
        <w:t>infit</w:t>
      </w:r>
      <w:proofErr w:type="spellEnd"/>
      <w:r w:rsidR="00B17DD7" w:rsidRPr="008A38EF">
        <w:rPr>
          <w:rFonts w:ascii="Arial" w:hAnsi="Arial" w:cs="Arial"/>
          <w:sz w:val="22"/>
          <w:lang w:val="es-ES_tradnl"/>
        </w:rPr>
        <w:t xml:space="preserve"> deben estar en el rango entre</w:t>
      </w:r>
      <w:r w:rsidRPr="008A38EF">
        <w:rPr>
          <w:rFonts w:ascii="Arial" w:hAnsi="Arial" w:cs="Arial"/>
          <w:sz w:val="22"/>
          <w:lang w:val="es-ES_tradnl"/>
        </w:rPr>
        <w:t xml:space="preserve"> 0.75 y 1.33; en este análisis se usarán como referencia estas cotas. </w:t>
      </w:r>
    </w:p>
    <w:p w:rsidR="00564917" w:rsidRDefault="00C313F6" w:rsidP="00F32119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En cuanto al puntaje promedio por categorías, se espera que vayan creciendo conforme avanzan las categorías de respuesta. Esta condición es necesaria para evitar desorden entre las mismas. </w:t>
      </w:r>
      <w:sdt>
        <w:sdtPr>
          <w:rPr>
            <w:rFonts w:ascii="Arial" w:hAnsi="Arial" w:cs="Arial"/>
            <w:sz w:val="22"/>
            <w:lang w:val="es-ES_tradnl"/>
          </w:rPr>
          <w:id w:val="1217019026"/>
          <w:citation/>
        </w:sdtPr>
        <w:sdtEndPr/>
        <w:sdtContent>
          <w:r>
            <w:rPr>
              <w:rFonts w:ascii="Arial" w:hAnsi="Arial" w:cs="Arial"/>
              <w:sz w:val="22"/>
              <w:lang w:val="es-ES_tradnl"/>
            </w:rPr>
            <w:fldChar w:fldCharType="begin"/>
          </w:r>
          <w:r>
            <w:rPr>
              <w:rFonts w:ascii="Arial" w:hAnsi="Arial" w:cs="Arial"/>
              <w:sz w:val="22"/>
              <w:lang w:val="es-MX"/>
            </w:rPr>
            <w:instrText xml:space="preserve"> CITATION Dim12 \l 2058 </w:instrText>
          </w:r>
          <w:r>
            <w:rPr>
              <w:rFonts w:ascii="Arial" w:hAnsi="Arial" w:cs="Arial"/>
              <w:sz w:val="22"/>
              <w:lang w:val="es-ES_tradnl"/>
            </w:rPr>
            <w:fldChar w:fldCharType="separate"/>
          </w:r>
          <w:r w:rsidRPr="00C313F6">
            <w:rPr>
              <w:rFonts w:ascii="Arial" w:hAnsi="Arial" w:cs="Arial"/>
              <w:noProof/>
              <w:sz w:val="22"/>
              <w:lang w:val="es-MX"/>
            </w:rPr>
            <w:t>(Dimitrov, 2012)</w:t>
          </w:r>
          <w:r>
            <w:rPr>
              <w:rFonts w:ascii="Arial" w:hAnsi="Arial" w:cs="Arial"/>
              <w:sz w:val="22"/>
              <w:lang w:val="es-ES_tradnl"/>
            </w:rPr>
            <w:fldChar w:fldCharType="end"/>
          </w:r>
        </w:sdtContent>
      </w:sdt>
      <w:r>
        <w:rPr>
          <w:rFonts w:ascii="Arial" w:hAnsi="Arial" w:cs="Arial"/>
          <w:sz w:val="22"/>
          <w:lang w:val="es-ES_tradnl"/>
        </w:rPr>
        <w:t>.</w:t>
      </w:r>
    </w:p>
    <w:p w:rsidR="0009036A" w:rsidRPr="00AB64ED" w:rsidRDefault="0009036A" w:rsidP="0009036A">
      <w:pPr>
        <w:rPr>
          <w:rFonts w:ascii="Arial" w:hAnsi="Arial" w:cs="Arial"/>
          <w:b/>
          <w:sz w:val="22"/>
          <w:lang w:val="es-ES_tradnl"/>
        </w:rPr>
      </w:pPr>
      <w:r w:rsidRPr="00AB64ED">
        <w:rPr>
          <w:rFonts w:ascii="Arial" w:hAnsi="Arial" w:cs="Arial"/>
          <w:b/>
          <w:sz w:val="22"/>
          <w:lang w:val="es-ES_tradnl"/>
        </w:rPr>
        <w:t>Cuestionario ATP</w:t>
      </w:r>
    </w:p>
    <w:p w:rsidR="00A14E8E" w:rsidRPr="0009036A" w:rsidRDefault="00AB64ED" w:rsidP="0009036A">
      <w:pPr>
        <w:pStyle w:val="Textito"/>
      </w:pPr>
      <w:r>
        <w:rPr>
          <w:rFonts w:cs="Arial"/>
          <w:lang w:val="es-ES_tradnl"/>
        </w:rPr>
        <w:t>Inicialmente el número de casos era de 2740</w:t>
      </w:r>
      <w:r w:rsidR="00F513A3">
        <w:rPr>
          <w:rFonts w:cs="Arial"/>
          <w:lang w:val="es-ES_tradnl"/>
        </w:rPr>
        <w:t xml:space="preserve"> y </w:t>
      </w:r>
      <w:r w:rsidR="0009036A">
        <w:rPr>
          <w:rFonts w:cs="Arial"/>
          <w:lang w:val="es-ES_tradnl"/>
        </w:rPr>
        <w:t xml:space="preserve">el número mayor </w:t>
      </w:r>
      <w:r w:rsidR="00C53D6A">
        <w:rPr>
          <w:rFonts w:cs="Arial"/>
          <w:lang w:val="es-ES_tradnl"/>
        </w:rPr>
        <w:t>de</w:t>
      </w:r>
      <w:r w:rsidR="00F513A3">
        <w:rPr>
          <w:rFonts w:cs="Arial"/>
          <w:lang w:val="es-ES_tradnl"/>
        </w:rPr>
        <w:t xml:space="preserve"> valores </w:t>
      </w:r>
      <w:proofErr w:type="spellStart"/>
      <w:r w:rsidR="00F513A3">
        <w:rPr>
          <w:rFonts w:cs="Arial"/>
          <w:lang w:val="es-ES_tradnl"/>
        </w:rPr>
        <w:t>pérdidos</w:t>
      </w:r>
      <w:proofErr w:type="spellEnd"/>
      <w:r w:rsidR="00F513A3">
        <w:rPr>
          <w:rFonts w:cs="Arial"/>
          <w:lang w:val="es-ES_tradnl"/>
        </w:rPr>
        <w:t xml:space="preserve"> por reactivo </w:t>
      </w:r>
      <w:r w:rsidR="00564917">
        <w:rPr>
          <w:rFonts w:cs="Arial"/>
          <w:lang w:val="es-ES_tradnl"/>
        </w:rPr>
        <w:t xml:space="preserve">fue 2. </w:t>
      </w:r>
      <w:r w:rsidR="00564917">
        <w:t xml:space="preserve">En el caso del </w:t>
      </w:r>
      <w:proofErr w:type="spellStart"/>
      <w:r w:rsidR="00564917">
        <w:t>infit</w:t>
      </w:r>
      <w:proofErr w:type="spellEnd"/>
      <w:r w:rsidR="00564917">
        <w:t xml:space="preserve"> todos los valores se encuentran dentro d</w:t>
      </w:r>
      <w:r w:rsidR="00DB7014">
        <w:t>el rango excepto el reactivo ATP</w:t>
      </w:r>
      <w:r w:rsidR="00564917">
        <w:t xml:space="preserve">27 que tuvo un valor de 1.43 (diez </w:t>
      </w:r>
      <w:proofErr w:type="gramStart"/>
      <w:r w:rsidR="00564917">
        <w:t>décima</w:t>
      </w:r>
      <w:r w:rsidR="0086223F">
        <w:t>s</w:t>
      </w:r>
      <w:r w:rsidR="00564917">
        <w:t xml:space="preserve"> mayor</w:t>
      </w:r>
      <w:proofErr w:type="gramEnd"/>
      <w:r w:rsidR="00564917">
        <w:t xml:space="preserve"> al límite superior indicado 1.33). </w:t>
      </w:r>
      <w:r w:rsidR="00051952">
        <w:t>Respecto al puntaje promedio por categor</w:t>
      </w:r>
      <w:r w:rsidR="00B14693">
        <w:t>ía nueve reactivos presentan un comportamiento no adecuado</w:t>
      </w:r>
      <w:r w:rsidR="007F08B0">
        <w:t xml:space="preserve"> en la categoría 2 (ATP5, ATP7, ATP9, ATP11, ATP17-ATP20 y ATP22), y </w:t>
      </w:r>
      <w:r w:rsidR="00B14693">
        <w:t xml:space="preserve">uno </w:t>
      </w:r>
      <w:r w:rsidR="007F08B0">
        <w:t>en la categoría 1</w:t>
      </w:r>
      <w:r w:rsidR="00B14693">
        <w:t xml:space="preserve"> (ATP8)</w:t>
      </w:r>
      <w:r w:rsidR="007F08B0">
        <w:t>.</w:t>
      </w:r>
    </w:p>
    <w:p w:rsidR="001D78B9" w:rsidRDefault="008256B9" w:rsidP="00776FA1">
      <w:pPr>
        <w:rPr>
          <w:rFonts w:ascii="Arial" w:hAnsi="Arial" w:cs="Arial"/>
          <w:sz w:val="22"/>
          <w:lang w:val="es-ES_tradnl"/>
        </w:rPr>
      </w:pPr>
      <w:r w:rsidRPr="00F816DA">
        <w:rPr>
          <w:noProof/>
          <w:lang w:val="es-MX" w:eastAsia="es-MX"/>
        </w:rPr>
        <w:lastRenderedPageBreak/>
        <w:drawing>
          <wp:anchor distT="0" distB="0" distL="114300" distR="114300" simplePos="0" relativeHeight="251658248" behindDoc="0" locked="0" layoutInCell="1" allowOverlap="1" wp14:anchorId="5BBA41B9" wp14:editId="4C46ACFC">
            <wp:simplePos x="0" y="0"/>
            <wp:positionH relativeFrom="page">
              <wp:posOffset>2093645</wp:posOffset>
            </wp:positionH>
            <wp:positionV relativeFrom="paragraph">
              <wp:posOffset>190906</wp:posOffset>
            </wp:positionV>
            <wp:extent cx="3643630" cy="552958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56B9" w:rsidRDefault="008256B9" w:rsidP="0009036A">
      <w:pPr>
        <w:rPr>
          <w:rFonts w:ascii="Arial" w:hAnsi="Arial" w:cs="Arial"/>
          <w:b/>
          <w:sz w:val="22"/>
          <w:lang w:val="es-ES_tradnl"/>
        </w:rPr>
      </w:pPr>
    </w:p>
    <w:p w:rsidR="008256B9" w:rsidRDefault="008256B9" w:rsidP="0009036A">
      <w:pPr>
        <w:rPr>
          <w:rFonts w:ascii="Arial" w:hAnsi="Arial" w:cs="Arial"/>
          <w:b/>
          <w:sz w:val="22"/>
          <w:lang w:val="es-ES_tradnl"/>
        </w:rPr>
      </w:pPr>
    </w:p>
    <w:p w:rsidR="008256B9" w:rsidRDefault="008256B9" w:rsidP="0009036A">
      <w:pPr>
        <w:rPr>
          <w:rFonts w:ascii="Arial" w:hAnsi="Arial" w:cs="Arial"/>
          <w:b/>
          <w:sz w:val="22"/>
          <w:lang w:val="es-ES_tradnl"/>
        </w:rPr>
      </w:pPr>
    </w:p>
    <w:p w:rsidR="0009036A" w:rsidRPr="00AB64ED" w:rsidRDefault="0009036A" w:rsidP="0009036A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t>Cuestionario AI</w:t>
      </w:r>
    </w:p>
    <w:p w:rsidR="00B14693" w:rsidRPr="0009036A" w:rsidRDefault="0009036A" w:rsidP="00B14693">
      <w:pPr>
        <w:pStyle w:val="Textito"/>
      </w:pPr>
      <w:r w:rsidRPr="0009036A">
        <w:rPr>
          <w:rFonts w:cs="Arial"/>
          <w:lang w:val="es-ES_tradnl"/>
        </w:rPr>
        <w:t>Inicialment</w:t>
      </w:r>
      <w:r>
        <w:rPr>
          <w:rFonts w:cs="Arial"/>
          <w:lang w:val="es-ES_tradnl"/>
        </w:rPr>
        <w:t>e el número de casos era de 2748</w:t>
      </w:r>
      <w:r w:rsidRPr="0009036A">
        <w:rPr>
          <w:rFonts w:cs="Arial"/>
          <w:lang w:val="es-ES_tradnl"/>
        </w:rPr>
        <w:t xml:space="preserve"> y el número mayor </w:t>
      </w:r>
      <w:r w:rsidR="00C53D6A">
        <w:rPr>
          <w:rFonts w:cs="Arial"/>
          <w:lang w:val="es-ES_tradnl"/>
        </w:rPr>
        <w:t>de</w:t>
      </w:r>
      <w:r w:rsidRPr="0009036A">
        <w:rPr>
          <w:rFonts w:cs="Arial"/>
          <w:lang w:val="es-ES_tradnl"/>
        </w:rPr>
        <w:t xml:space="preserve"> valores </w:t>
      </w:r>
      <w:proofErr w:type="spellStart"/>
      <w:r w:rsidRPr="0009036A">
        <w:rPr>
          <w:rFonts w:cs="Arial"/>
          <w:lang w:val="es-ES_tradnl"/>
        </w:rPr>
        <w:t>pérdidos</w:t>
      </w:r>
      <w:proofErr w:type="spellEnd"/>
      <w:r w:rsidRPr="0009036A">
        <w:rPr>
          <w:rFonts w:cs="Arial"/>
          <w:lang w:val="es-ES_tradnl"/>
        </w:rPr>
        <w:t xml:space="preserve"> por reactivo </w:t>
      </w:r>
      <w:r>
        <w:rPr>
          <w:rFonts w:cs="Arial"/>
          <w:lang w:val="es-ES_tradnl"/>
        </w:rPr>
        <w:t>fue 4</w:t>
      </w:r>
      <w:r w:rsidRPr="0009036A">
        <w:rPr>
          <w:rFonts w:cs="Arial"/>
          <w:lang w:val="es-ES_tradnl"/>
        </w:rPr>
        <w:t xml:space="preserve">. En el caso del </w:t>
      </w:r>
      <w:proofErr w:type="spellStart"/>
      <w:r w:rsidRPr="0009036A">
        <w:rPr>
          <w:rFonts w:cs="Arial"/>
          <w:lang w:val="es-ES_tradnl"/>
        </w:rPr>
        <w:t>infit</w:t>
      </w:r>
      <w:proofErr w:type="spellEnd"/>
      <w:r w:rsidRPr="0009036A">
        <w:rPr>
          <w:rFonts w:cs="Arial"/>
          <w:lang w:val="es-ES_tradnl"/>
        </w:rPr>
        <w:t xml:space="preserve"> todos los valores se encuentran dentro d</w:t>
      </w:r>
      <w:r w:rsidR="00DB7014">
        <w:rPr>
          <w:rFonts w:cs="Arial"/>
          <w:lang w:val="es-ES_tradnl"/>
        </w:rPr>
        <w:t>el rango excepto el reactivo AI</w:t>
      </w:r>
      <w:r w:rsidRPr="0009036A">
        <w:rPr>
          <w:rFonts w:cs="Arial"/>
          <w:lang w:val="es-ES_tradnl"/>
        </w:rPr>
        <w:t>27 q</w:t>
      </w:r>
      <w:r w:rsidR="005D1D94">
        <w:rPr>
          <w:rFonts w:cs="Arial"/>
          <w:lang w:val="es-ES_tradnl"/>
        </w:rPr>
        <w:t>ue tuvo un valor de 1.46 (trece</w:t>
      </w:r>
      <w:r w:rsidRPr="0009036A">
        <w:rPr>
          <w:rFonts w:cs="Arial"/>
          <w:lang w:val="es-ES_tradnl"/>
        </w:rPr>
        <w:t xml:space="preserve"> décimas mayor al límite superior indicado 1.33)</w:t>
      </w:r>
      <w:proofErr w:type="gramStart"/>
      <w:r w:rsidRPr="0009036A">
        <w:rPr>
          <w:rFonts w:cs="Arial"/>
          <w:lang w:val="es-ES_tradnl"/>
        </w:rPr>
        <w:t xml:space="preserve">. </w:t>
      </w:r>
      <w:r w:rsidR="00B14693">
        <w:t>)</w:t>
      </w:r>
      <w:proofErr w:type="gramEnd"/>
      <w:r w:rsidR="00B14693">
        <w:t xml:space="preserve">. Respecto al puntaje </w:t>
      </w:r>
      <w:r w:rsidR="00B14693">
        <w:lastRenderedPageBreak/>
        <w:t>promedio por categoría cinco reactivos presentan un comportamiento no adecuado en la categoría 2 (AI2, AI9, AI14, AI21 y AI24).</w:t>
      </w:r>
    </w:p>
    <w:p w:rsidR="001D78B9" w:rsidRDefault="001D78B9" w:rsidP="00776FA1">
      <w:pPr>
        <w:rPr>
          <w:rFonts w:ascii="Arial" w:hAnsi="Arial" w:cs="Arial"/>
          <w:sz w:val="22"/>
          <w:lang w:val="es-ES_tradnl"/>
        </w:rPr>
      </w:pPr>
    </w:p>
    <w:p w:rsidR="0086223F" w:rsidRDefault="008256B9" w:rsidP="005D1D94">
      <w:pPr>
        <w:spacing w:before="0" w:after="0" w:line="240" w:lineRule="auto"/>
        <w:rPr>
          <w:rFonts w:ascii="Arial" w:hAnsi="Arial" w:cs="Arial"/>
          <w:b/>
          <w:sz w:val="22"/>
          <w:lang w:val="es-ES_tradnl"/>
        </w:rPr>
      </w:pPr>
      <w:r w:rsidRPr="008256B9">
        <w:rPr>
          <w:noProof/>
          <w:lang w:val="es-MX" w:eastAsia="es-MX"/>
        </w:rPr>
        <w:drawing>
          <wp:anchor distT="0" distB="0" distL="114300" distR="114300" simplePos="0" relativeHeight="251658249" behindDoc="0" locked="0" layoutInCell="1" allowOverlap="1" wp14:anchorId="6E31F570" wp14:editId="7DB73B01">
            <wp:simplePos x="0" y="0"/>
            <wp:positionH relativeFrom="margin">
              <wp:align>center</wp:align>
            </wp:positionH>
            <wp:positionV relativeFrom="paragraph">
              <wp:posOffset>258267</wp:posOffset>
            </wp:positionV>
            <wp:extent cx="3949700" cy="5343525"/>
            <wp:effectExtent l="0" t="0" r="0" b="952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6B9" w:rsidRDefault="008256B9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B41EA0" w:rsidRDefault="00B41EA0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8256B9" w:rsidRDefault="008256B9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8256B9" w:rsidRDefault="008256B9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4667EC" w:rsidRDefault="004667EC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5C1379" w:rsidRDefault="005C1379" w:rsidP="005C1379">
      <w:pPr>
        <w:pStyle w:val="Ttulo1"/>
        <w:rPr>
          <w:lang w:val="es-ES_tradnl"/>
        </w:rPr>
      </w:pPr>
      <w:bookmarkStart w:id="32" w:name="_Toc488664995"/>
      <w:bookmarkStart w:id="33" w:name="_Toc492300728"/>
      <w:bookmarkStart w:id="34" w:name="_Toc492301721"/>
      <w:bookmarkStart w:id="35" w:name="_Toc492302122"/>
      <w:r>
        <w:rPr>
          <w:lang w:val="es-ES_tradnl"/>
        </w:rPr>
        <w:lastRenderedPageBreak/>
        <w:t>Ajuste del Modelo de Crédito Parcial (MCP)</w:t>
      </w:r>
      <w:bookmarkEnd w:id="32"/>
      <w:bookmarkEnd w:id="33"/>
      <w:bookmarkEnd w:id="34"/>
      <w:bookmarkEnd w:id="35"/>
    </w:p>
    <w:p w:rsidR="00B41EA0" w:rsidRDefault="00B41EA0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8256B9" w:rsidRPr="00E0217A" w:rsidRDefault="008256B9" w:rsidP="00E0217A">
      <w:pPr>
        <w:spacing w:before="0" w:after="0" w:line="240" w:lineRule="auto"/>
        <w:rPr>
          <w:rFonts w:ascii="Arial" w:hAnsi="Arial" w:cs="Arial"/>
          <w:sz w:val="22"/>
          <w:lang w:val="es-ES_tradnl"/>
        </w:rPr>
      </w:pPr>
    </w:p>
    <w:p w:rsidR="00BC5065" w:rsidRDefault="005C1379" w:rsidP="00553B10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En las siguientes gráficas se presentan las curvas de probabilidad acumulada</w:t>
      </w:r>
      <w:r w:rsidR="00BC5065">
        <w:rPr>
          <w:rFonts w:ascii="Arial" w:hAnsi="Arial" w:cs="Arial"/>
          <w:sz w:val="22"/>
          <w:szCs w:val="22"/>
          <w:lang w:val="es-MX"/>
        </w:rPr>
        <w:t xml:space="preserve"> (CPC)</w:t>
      </w:r>
      <w:r>
        <w:rPr>
          <w:rFonts w:ascii="Arial" w:hAnsi="Arial" w:cs="Arial"/>
          <w:sz w:val="22"/>
          <w:szCs w:val="22"/>
          <w:lang w:val="es-MX"/>
        </w:rPr>
        <w:t xml:space="preserve"> de un reactivo de cada cuestionario como ejemplo</w:t>
      </w:r>
      <w:r w:rsidR="005E004F">
        <w:rPr>
          <w:rFonts w:ascii="Arial" w:hAnsi="Arial" w:cs="Arial"/>
          <w:sz w:val="22"/>
          <w:szCs w:val="22"/>
          <w:lang w:val="es-MX"/>
        </w:rPr>
        <w:t>; estas gráficas</w:t>
      </w:r>
      <w:r>
        <w:rPr>
          <w:rFonts w:ascii="Arial" w:hAnsi="Arial" w:cs="Arial"/>
          <w:sz w:val="22"/>
          <w:szCs w:val="22"/>
          <w:lang w:val="es-MX"/>
        </w:rPr>
        <w:t xml:space="preserve"> muestra</w:t>
      </w:r>
      <w:r w:rsidR="005E004F">
        <w:rPr>
          <w:rFonts w:ascii="Arial" w:hAnsi="Arial" w:cs="Arial"/>
          <w:sz w:val="22"/>
          <w:szCs w:val="22"/>
          <w:lang w:val="es-MX"/>
        </w:rPr>
        <w:t>n</w:t>
      </w:r>
      <w:r>
        <w:rPr>
          <w:rFonts w:ascii="Arial" w:hAnsi="Arial" w:cs="Arial"/>
          <w:sz w:val="22"/>
          <w:szCs w:val="22"/>
          <w:lang w:val="es-MX"/>
        </w:rPr>
        <w:t xml:space="preserve"> la distribución de </w:t>
      </w:r>
      <w:r w:rsidR="005E004F">
        <w:rPr>
          <w:rFonts w:ascii="Arial" w:hAnsi="Arial" w:cs="Arial"/>
          <w:sz w:val="22"/>
          <w:szCs w:val="22"/>
          <w:lang w:val="es-MX"/>
        </w:rPr>
        <w:t>las</w:t>
      </w:r>
      <w:r>
        <w:rPr>
          <w:rFonts w:ascii="Arial" w:hAnsi="Arial" w:cs="Arial"/>
          <w:sz w:val="22"/>
          <w:szCs w:val="22"/>
          <w:lang w:val="es-MX"/>
        </w:rPr>
        <w:t xml:space="preserve"> categorías</w:t>
      </w:r>
      <w:r w:rsidR="00BC5065">
        <w:rPr>
          <w:rFonts w:ascii="Arial" w:hAnsi="Arial" w:cs="Arial"/>
          <w:sz w:val="22"/>
          <w:szCs w:val="22"/>
          <w:lang w:val="es-MX"/>
        </w:rPr>
        <w:t xml:space="preserve">, donde las curvas </w:t>
      </w:r>
      <w:r w:rsidR="005E004F">
        <w:rPr>
          <w:rFonts w:ascii="Arial" w:hAnsi="Arial" w:cs="Arial"/>
          <w:sz w:val="22"/>
          <w:szCs w:val="22"/>
          <w:lang w:val="es-MX"/>
        </w:rPr>
        <w:t xml:space="preserve">separan las regiones </w:t>
      </w:r>
      <w:r w:rsidR="00F05563">
        <w:rPr>
          <w:rFonts w:ascii="Arial" w:hAnsi="Arial" w:cs="Arial"/>
          <w:sz w:val="22"/>
          <w:szCs w:val="22"/>
          <w:lang w:val="es-MX"/>
        </w:rPr>
        <w:t>de probabilidad, tal que se elige una categoría superior adyacente cuando se tiene mayor probabilidad de cambiar de categoría</w:t>
      </w:r>
      <w:r>
        <w:rPr>
          <w:rFonts w:ascii="Arial" w:hAnsi="Arial" w:cs="Arial"/>
          <w:sz w:val="22"/>
          <w:szCs w:val="22"/>
          <w:lang w:val="es-MX"/>
        </w:rPr>
        <w:t>.</w:t>
      </w:r>
      <w:r w:rsidR="00F05563">
        <w:rPr>
          <w:rFonts w:ascii="Arial" w:hAnsi="Arial" w:cs="Arial"/>
          <w:sz w:val="22"/>
          <w:szCs w:val="22"/>
          <w:lang w:val="es-MX"/>
        </w:rPr>
        <w:t xml:space="preserve"> En las gráficas se presentan las puntuaciones </w:t>
      </w:r>
      <w:r w:rsidR="00BC5065">
        <w:rPr>
          <w:rFonts w:ascii="Arial" w:hAnsi="Arial" w:cs="Arial"/>
          <w:sz w:val="22"/>
          <w:szCs w:val="22"/>
          <w:lang w:val="es-MX"/>
        </w:rPr>
        <w:t xml:space="preserve">más </w:t>
      </w:r>
      <w:r w:rsidR="00F05563">
        <w:rPr>
          <w:rFonts w:ascii="Arial" w:hAnsi="Arial" w:cs="Arial"/>
          <w:sz w:val="22"/>
          <w:szCs w:val="22"/>
          <w:lang w:val="es-MX"/>
        </w:rPr>
        <w:t>bajas muy cercanas, lo cual indica que las puntuaciones 0, 1, 2 y 3 podrían ser parte de una sola categoría de respuesta.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="009A1A85">
        <w:rPr>
          <w:rFonts w:ascii="Arial" w:hAnsi="Arial" w:cs="Arial"/>
          <w:sz w:val="22"/>
          <w:szCs w:val="22"/>
          <w:lang w:val="es-MX"/>
        </w:rPr>
        <w:t>Esta situación está presente</w:t>
      </w:r>
      <w:r w:rsidR="00BC5065">
        <w:rPr>
          <w:rFonts w:ascii="Arial" w:hAnsi="Arial" w:cs="Arial"/>
          <w:sz w:val="22"/>
          <w:szCs w:val="22"/>
          <w:lang w:val="es-MX"/>
        </w:rPr>
        <w:t xml:space="preserve"> en </w:t>
      </w:r>
      <w:r w:rsidR="009A1A85">
        <w:rPr>
          <w:rFonts w:ascii="Arial" w:hAnsi="Arial" w:cs="Arial"/>
          <w:sz w:val="22"/>
          <w:szCs w:val="22"/>
          <w:lang w:val="es-MX"/>
        </w:rPr>
        <w:t xml:space="preserve">todos los reactivos que conforman </w:t>
      </w:r>
      <w:r w:rsidR="00BC5065">
        <w:rPr>
          <w:rFonts w:ascii="Arial" w:hAnsi="Arial" w:cs="Arial"/>
          <w:sz w:val="22"/>
          <w:szCs w:val="22"/>
          <w:lang w:val="es-MX"/>
        </w:rPr>
        <w:t>ambos cuestionarios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553B10" w:rsidRDefault="00BC5065" w:rsidP="00553B10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5" behindDoc="0" locked="0" layoutInCell="1" allowOverlap="1" wp14:anchorId="4F6F12EA" wp14:editId="6C352D65">
            <wp:simplePos x="0" y="0"/>
            <wp:positionH relativeFrom="margin">
              <wp:align>left</wp:align>
            </wp:positionH>
            <wp:positionV relativeFrom="paragraph">
              <wp:posOffset>320827</wp:posOffset>
            </wp:positionV>
            <wp:extent cx="5795645" cy="2640330"/>
            <wp:effectExtent l="0" t="0" r="0" b="762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TP_Citem 8 (atp08) - C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  <w:lang w:val="es-MX"/>
        </w:rPr>
        <w:t>CPC del c</w:t>
      </w:r>
      <w:r w:rsidR="005C1379">
        <w:rPr>
          <w:rFonts w:ascii="Arial" w:hAnsi="Arial" w:cs="Arial"/>
          <w:sz w:val="22"/>
          <w:szCs w:val="22"/>
          <w:lang w:val="es-MX"/>
        </w:rPr>
        <w:t>uestionario ATP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="005C1379">
        <w:rPr>
          <w:rFonts w:ascii="Arial" w:hAnsi="Arial" w:cs="Arial"/>
          <w:sz w:val="22"/>
          <w:szCs w:val="22"/>
          <w:lang w:val="es-MX"/>
        </w:rPr>
        <w:t xml:space="preserve">reactivo </w:t>
      </w:r>
      <w:r>
        <w:rPr>
          <w:rFonts w:ascii="Arial" w:hAnsi="Arial" w:cs="Arial"/>
          <w:sz w:val="22"/>
          <w:szCs w:val="22"/>
          <w:lang w:val="es-MX"/>
        </w:rPr>
        <w:t xml:space="preserve">8. </w:t>
      </w:r>
    </w:p>
    <w:p w:rsidR="009A1A85" w:rsidRDefault="009A1A85" w:rsidP="00553B10">
      <w:pPr>
        <w:rPr>
          <w:rFonts w:ascii="Arial" w:hAnsi="Arial" w:cs="Arial"/>
          <w:sz w:val="22"/>
          <w:szCs w:val="22"/>
          <w:lang w:val="es-MX"/>
        </w:rPr>
      </w:pPr>
    </w:p>
    <w:p w:rsidR="00BC5065" w:rsidRDefault="00BC5065" w:rsidP="00BC5065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CPC del cuestionario AI reactivo 8. </w:t>
      </w:r>
    </w:p>
    <w:p w:rsidR="00553B10" w:rsidRDefault="00D106D1" w:rsidP="00553B10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anchor distT="0" distB="0" distL="114300" distR="114300" simplePos="0" relativeHeight="251658247" behindDoc="0" locked="0" layoutInCell="1" allowOverlap="1" wp14:anchorId="59189196" wp14:editId="45E9E225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5963285" cy="2716530"/>
            <wp:effectExtent l="0" t="0" r="0" b="762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i_Citem 8 (ai08) - C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065">
        <w:rPr>
          <w:rFonts w:ascii="Arial" w:hAnsi="Arial" w:cs="Arial"/>
          <w:noProof/>
          <w:sz w:val="22"/>
          <w:szCs w:val="22"/>
          <w:lang w:val="es-MX" w:eastAsia="es-MX"/>
        </w:rPr>
        <w:t xml:space="preserve"> </w:t>
      </w:r>
      <w:r w:rsidR="005C1379">
        <w:rPr>
          <w:rFonts w:ascii="Arial" w:hAnsi="Arial" w:cs="Arial"/>
          <w:sz w:val="22"/>
          <w:szCs w:val="22"/>
          <w:lang w:val="es-MX"/>
        </w:rPr>
        <w:br w:type="page"/>
      </w:r>
    </w:p>
    <w:p w:rsidR="00553B10" w:rsidRPr="002F269E" w:rsidRDefault="00553B10" w:rsidP="00553B10">
      <w:pPr>
        <w:pStyle w:val="Ttulo1"/>
        <w:rPr>
          <w:lang w:val="es-MX"/>
        </w:rPr>
      </w:pPr>
      <w:bookmarkStart w:id="36" w:name="_Toc492043204"/>
      <w:bookmarkStart w:id="37" w:name="_Toc492280977"/>
      <w:bookmarkStart w:id="38" w:name="_Toc492282216"/>
      <w:bookmarkStart w:id="39" w:name="_Toc492300729"/>
      <w:bookmarkStart w:id="40" w:name="_Toc492301722"/>
      <w:bookmarkStart w:id="41" w:name="_Toc492302123"/>
      <w:r>
        <w:rPr>
          <w:lang w:val="es-MX"/>
        </w:rPr>
        <w:lastRenderedPageBreak/>
        <w:t>Ma</w:t>
      </w:r>
      <w:r w:rsidRPr="00AE7D78">
        <w:rPr>
          <w:lang w:val="es-MX"/>
        </w:rPr>
        <w:t>pa de Wright</w:t>
      </w:r>
      <w:bookmarkEnd w:id="36"/>
      <w:bookmarkEnd w:id="37"/>
      <w:bookmarkEnd w:id="38"/>
      <w:bookmarkEnd w:id="39"/>
      <w:bookmarkEnd w:id="40"/>
      <w:bookmarkEnd w:id="41"/>
    </w:p>
    <w:p w:rsidR="00553B10" w:rsidRDefault="00553B10" w:rsidP="00553B10">
      <w:pPr>
        <w:rPr>
          <w:rFonts w:ascii="Arial" w:hAnsi="Arial" w:cs="Arial"/>
          <w:sz w:val="22"/>
          <w:szCs w:val="22"/>
          <w:lang w:val="es-MX"/>
        </w:rPr>
      </w:pPr>
    </w:p>
    <w:p w:rsidR="00553B10" w:rsidRPr="00355DF9" w:rsidRDefault="00553B10" w:rsidP="00553B10">
      <w:pPr>
        <w:rPr>
          <w:rFonts w:ascii="Arial" w:hAnsi="Arial" w:cs="Arial"/>
          <w:sz w:val="22"/>
          <w:szCs w:val="22"/>
          <w:lang w:val="es-MX"/>
        </w:rPr>
      </w:pPr>
      <w:r w:rsidRPr="00C17E69">
        <w:rPr>
          <w:rFonts w:ascii="Arial" w:hAnsi="Arial" w:cs="Arial"/>
          <w:sz w:val="22"/>
          <w:szCs w:val="22"/>
          <w:lang w:val="es-MX"/>
        </w:rPr>
        <w:t xml:space="preserve">El siguiente mapa de Wright corresponde al cuestionario ATP del modelo de crédito parcial </w:t>
      </w:r>
      <w:r w:rsidR="00C5113F">
        <w:rPr>
          <w:rFonts w:ascii="Arial" w:hAnsi="Arial" w:cs="Arial"/>
          <w:sz w:val="22"/>
          <w:szCs w:val="22"/>
          <w:lang w:val="es-MX"/>
        </w:rPr>
        <w:t xml:space="preserve">considerando una probabilidad de respuesta de 0.5 y </w:t>
      </w:r>
      <w:r w:rsidRPr="00C17E69">
        <w:rPr>
          <w:rFonts w:ascii="Arial" w:hAnsi="Arial" w:cs="Arial"/>
          <w:sz w:val="22"/>
          <w:szCs w:val="22"/>
          <w:lang w:val="es-MX"/>
        </w:rPr>
        <w:t xml:space="preserve">con la escala </w:t>
      </w:r>
      <w:r w:rsidR="00C5113F">
        <w:rPr>
          <w:rFonts w:ascii="Arial" w:hAnsi="Arial" w:cs="Arial"/>
          <w:sz w:val="22"/>
          <w:szCs w:val="22"/>
          <w:lang w:val="es-MX"/>
        </w:rPr>
        <w:t xml:space="preserve">en puntajes </w:t>
      </w:r>
      <w:proofErr w:type="spellStart"/>
      <w:r w:rsidR="00C5113F">
        <w:rPr>
          <w:rFonts w:ascii="Arial" w:hAnsi="Arial" w:cs="Arial"/>
          <w:sz w:val="22"/>
          <w:szCs w:val="22"/>
          <w:lang w:val="es-MX"/>
        </w:rPr>
        <w:t>logit</w:t>
      </w:r>
      <w:proofErr w:type="spellEnd"/>
      <w:r w:rsidRPr="00C17E69">
        <w:rPr>
          <w:rFonts w:ascii="Arial" w:hAnsi="Arial" w:cs="Arial"/>
          <w:sz w:val="22"/>
          <w:szCs w:val="22"/>
          <w:lang w:val="es-MX"/>
        </w:rPr>
        <w:t>.</w:t>
      </w:r>
      <w:r>
        <w:rPr>
          <w:rFonts w:ascii="Arial" w:hAnsi="Arial" w:cs="Arial"/>
          <w:sz w:val="22"/>
          <w:szCs w:val="22"/>
          <w:lang w:val="es-MX"/>
        </w:rPr>
        <w:t xml:space="preserve"> La población </w:t>
      </w:r>
      <w:r w:rsidR="00374C97">
        <w:rPr>
          <w:rFonts w:ascii="Arial" w:hAnsi="Arial" w:cs="Arial"/>
          <w:sz w:val="22"/>
          <w:szCs w:val="22"/>
          <w:lang w:val="es-MX"/>
        </w:rPr>
        <w:t xml:space="preserve">de ATP </w:t>
      </w:r>
      <w:r>
        <w:rPr>
          <w:rFonts w:ascii="Arial" w:hAnsi="Arial" w:cs="Arial"/>
          <w:sz w:val="22"/>
          <w:szCs w:val="22"/>
          <w:lang w:val="es-MX"/>
        </w:rPr>
        <w:t xml:space="preserve">se ubica en </w:t>
      </w:r>
      <w:r w:rsidR="00374C97">
        <w:rPr>
          <w:rFonts w:ascii="Arial" w:hAnsi="Arial" w:cs="Arial"/>
          <w:sz w:val="22"/>
          <w:szCs w:val="22"/>
          <w:lang w:val="es-MX"/>
        </w:rPr>
        <w:t xml:space="preserve">las puntuaciones mayores, en dirección a </w:t>
      </w:r>
      <w:r>
        <w:rPr>
          <w:rFonts w:ascii="Arial" w:hAnsi="Arial" w:cs="Arial"/>
          <w:sz w:val="22"/>
          <w:szCs w:val="22"/>
          <w:lang w:val="es-MX"/>
        </w:rPr>
        <w:t>l</w:t>
      </w:r>
      <w:r w:rsidR="00374C97">
        <w:rPr>
          <w:rFonts w:ascii="Arial" w:hAnsi="Arial" w:cs="Arial"/>
          <w:sz w:val="22"/>
          <w:szCs w:val="22"/>
          <w:lang w:val="es-MX"/>
        </w:rPr>
        <w:t>a mayor cantidad de</w:t>
      </w:r>
      <w:r>
        <w:rPr>
          <w:rFonts w:ascii="Arial" w:hAnsi="Arial" w:cs="Arial"/>
          <w:sz w:val="22"/>
          <w:szCs w:val="22"/>
          <w:lang w:val="es-MX"/>
        </w:rPr>
        <w:t xml:space="preserve"> constructo.</w:t>
      </w:r>
    </w:p>
    <w:p w:rsidR="00553B10" w:rsidRPr="00C17E69" w:rsidRDefault="00553B10" w:rsidP="00553B10">
      <w:pPr>
        <w:rPr>
          <w:rFonts w:ascii="Arial" w:hAnsi="Arial" w:cs="Arial"/>
          <w:sz w:val="22"/>
          <w:szCs w:val="22"/>
          <w:lang w:val="es-MX"/>
        </w:rPr>
      </w:pPr>
    </w:p>
    <w:p w:rsidR="00553B10" w:rsidRPr="00EE0CF1" w:rsidRDefault="00553B10" w:rsidP="00553B10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776B1AC2" wp14:editId="62EE8221">
            <wp:extent cx="6188075" cy="2819400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PWright MapThurstonian Thresholds &amp; Case Latent Distrib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10" w:rsidRPr="00735574" w:rsidRDefault="00553B10" w:rsidP="00553B10">
      <w:pPr>
        <w:rPr>
          <w:rFonts w:ascii="Arial" w:hAnsi="Arial" w:cs="Arial"/>
          <w:sz w:val="22"/>
          <w:szCs w:val="22"/>
          <w:lang w:val="es-MX"/>
        </w:rPr>
      </w:pPr>
    </w:p>
    <w:p w:rsidR="00553B10" w:rsidRDefault="00553B10" w:rsidP="00553B10">
      <w:pPr>
        <w:spacing w:before="0" w:after="0" w:line="240" w:lineRule="auto"/>
        <w:jc w:val="left"/>
        <w:rPr>
          <w:lang w:val="es-MX"/>
        </w:rPr>
      </w:pPr>
      <w:r>
        <w:rPr>
          <w:lang w:val="es-MX"/>
        </w:rPr>
        <w:br w:type="page"/>
      </w:r>
    </w:p>
    <w:p w:rsidR="00553B10" w:rsidRPr="00C17E69" w:rsidRDefault="00553B10" w:rsidP="00553B10">
      <w:pPr>
        <w:rPr>
          <w:rFonts w:ascii="Arial" w:hAnsi="Arial" w:cs="Arial"/>
          <w:sz w:val="22"/>
          <w:szCs w:val="22"/>
          <w:lang w:val="es-MX"/>
        </w:rPr>
      </w:pPr>
      <w:r w:rsidRPr="00C17E69">
        <w:rPr>
          <w:rFonts w:ascii="Arial" w:hAnsi="Arial" w:cs="Arial"/>
          <w:sz w:val="22"/>
          <w:szCs w:val="22"/>
          <w:lang w:val="es-MX"/>
        </w:rPr>
        <w:lastRenderedPageBreak/>
        <w:t xml:space="preserve">El siguiente mapa de Wright corresponde al cuestionario </w:t>
      </w:r>
      <w:r>
        <w:rPr>
          <w:rFonts w:ascii="Arial" w:hAnsi="Arial" w:cs="Arial"/>
          <w:sz w:val="22"/>
          <w:szCs w:val="22"/>
          <w:lang w:val="es-MX"/>
        </w:rPr>
        <w:t>de</w:t>
      </w:r>
      <w:r w:rsidRPr="00C17E69">
        <w:rPr>
          <w:rFonts w:ascii="Arial" w:hAnsi="Arial" w:cs="Arial"/>
          <w:sz w:val="22"/>
          <w:szCs w:val="22"/>
          <w:lang w:val="es-MX"/>
        </w:rPr>
        <w:t xml:space="preserve"> AI del modelo de crédito parcial </w:t>
      </w:r>
      <w:r w:rsidR="00374C97">
        <w:rPr>
          <w:rFonts w:ascii="Arial" w:hAnsi="Arial" w:cs="Arial"/>
          <w:sz w:val="22"/>
          <w:szCs w:val="22"/>
          <w:lang w:val="es-MX"/>
        </w:rPr>
        <w:t xml:space="preserve">en puntuaciones </w:t>
      </w:r>
      <w:proofErr w:type="spellStart"/>
      <w:r w:rsidR="00374C97">
        <w:rPr>
          <w:rFonts w:ascii="Arial" w:hAnsi="Arial" w:cs="Arial"/>
          <w:sz w:val="22"/>
          <w:szCs w:val="22"/>
          <w:lang w:val="es-MX"/>
        </w:rPr>
        <w:t>logit</w:t>
      </w:r>
      <w:proofErr w:type="spellEnd"/>
      <w:r w:rsidRPr="00C17E69">
        <w:rPr>
          <w:rFonts w:ascii="Arial" w:hAnsi="Arial" w:cs="Arial"/>
          <w:sz w:val="22"/>
          <w:szCs w:val="22"/>
          <w:lang w:val="es-MX"/>
        </w:rPr>
        <w:t>.</w:t>
      </w:r>
    </w:p>
    <w:p w:rsidR="00553B10" w:rsidRDefault="00553B10" w:rsidP="00553B10">
      <w:pPr>
        <w:spacing w:before="0" w:after="0" w:line="240" w:lineRule="auto"/>
        <w:jc w:val="left"/>
        <w:rPr>
          <w:lang w:val="es-MX"/>
        </w:rPr>
      </w:pPr>
    </w:p>
    <w:p w:rsidR="00553B10" w:rsidRDefault="00553B10" w:rsidP="00553B10">
      <w:pPr>
        <w:spacing w:before="0" w:after="0" w:line="240" w:lineRule="auto"/>
        <w:jc w:val="left"/>
        <w:rPr>
          <w:lang w:val="es-MX"/>
        </w:rPr>
      </w:pPr>
    </w:p>
    <w:p w:rsidR="00553B10" w:rsidRPr="00552DE5" w:rsidRDefault="00553B10" w:rsidP="00553B10">
      <w:pPr>
        <w:spacing w:before="0" w:after="0" w:line="240" w:lineRule="auto"/>
        <w:jc w:val="left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3031D5A" wp14:editId="5989FF14">
            <wp:extent cx="6188075" cy="281940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iWright MapThurstonian Thresholds &amp; Case Latent Distribu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10" w:rsidRDefault="00553B10" w:rsidP="00553B10">
      <w:pPr>
        <w:spacing w:before="0" w:after="0" w:line="240" w:lineRule="auto"/>
        <w:jc w:val="left"/>
        <w:rPr>
          <w:lang w:val="es-MX"/>
        </w:rPr>
      </w:pPr>
    </w:p>
    <w:p w:rsidR="00F071AC" w:rsidRDefault="001D0795" w:rsidP="00BF5C84">
      <w:pPr>
        <w:spacing w:before="0" w:after="0" w:line="240" w:lineRule="auto"/>
        <w:jc w:val="left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lang w:val="es-MX"/>
        </w:rPr>
        <w:br w:type="page"/>
      </w:r>
    </w:p>
    <w:p w:rsidR="004872B3" w:rsidRPr="004872B3" w:rsidRDefault="006D79B3" w:rsidP="004872B3">
      <w:pPr>
        <w:pStyle w:val="Ttulo1"/>
        <w:rPr>
          <w:lang w:val="es-MX"/>
        </w:rPr>
      </w:pPr>
      <w:bookmarkStart w:id="42" w:name="_Toc492043205"/>
      <w:bookmarkStart w:id="43" w:name="_Toc492280978"/>
      <w:bookmarkStart w:id="44" w:name="_Toc492282217"/>
      <w:bookmarkStart w:id="45" w:name="_Toc492285614"/>
      <w:bookmarkStart w:id="46" w:name="_Toc492300730"/>
      <w:bookmarkStart w:id="47" w:name="_Toc492301723"/>
      <w:bookmarkStart w:id="48" w:name="_Toc492302124"/>
      <w:r>
        <w:rPr>
          <w:lang w:val="es-MX"/>
        </w:rPr>
        <w:lastRenderedPageBreak/>
        <w:t>N</w:t>
      </w:r>
      <w:r w:rsidR="004872B3" w:rsidRPr="004872B3">
        <w:rPr>
          <w:lang w:val="es-MX"/>
        </w:rPr>
        <w:t>ivel de cumplimiento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093D3C" w:rsidRDefault="00093D3C" w:rsidP="00093D3C">
      <w:pPr>
        <w:rPr>
          <w:rFonts w:ascii="Arial" w:hAnsi="Arial" w:cs="Arial"/>
          <w:sz w:val="22"/>
          <w:szCs w:val="22"/>
          <w:lang w:val="es-MX"/>
        </w:rPr>
      </w:pPr>
    </w:p>
    <w:p w:rsidR="004872B3" w:rsidRPr="00735574" w:rsidRDefault="00554684" w:rsidP="004872B3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Cada una de las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escala</w:t>
      </w:r>
      <w:r>
        <w:rPr>
          <w:rFonts w:ascii="Arial" w:hAnsi="Arial" w:cs="Arial"/>
          <w:sz w:val="22"/>
          <w:szCs w:val="22"/>
          <w:lang w:val="es-MX"/>
        </w:rPr>
        <w:t>s construidas con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puntuaciones</w:t>
      </w:r>
      <w:r w:rsidR="000F17E9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="000F17E9">
        <w:rPr>
          <w:rFonts w:ascii="Arial" w:hAnsi="Arial" w:cs="Arial"/>
          <w:sz w:val="22"/>
          <w:szCs w:val="22"/>
          <w:lang w:val="es-MX"/>
        </w:rPr>
        <w:t>logit</w:t>
      </w:r>
      <w:proofErr w:type="spellEnd"/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</w:t>
      </w:r>
      <w:r w:rsidR="005D7768">
        <w:rPr>
          <w:rFonts w:ascii="Arial" w:hAnsi="Arial" w:cs="Arial"/>
          <w:sz w:val="22"/>
          <w:szCs w:val="22"/>
          <w:lang w:val="es-MX"/>
        </w:rPr>
        <w:t xml:space="preserve">obtenida por el modelo de crédito parcial </w:t>
      </w:r>
      <w:r w:rsidR="00093D3C">
        <w:rPr>
          <w:rFonts w:ascii="Arial" w:hAnsi="Arial" w:cs="Arial"/>
          <w:sz w:val="22"/>
          <w:szCs w:val="22"/>
          <w:lang w:val="es-MX"/>
        </w:rPr>
        <w:t xml:space="preserve">se </w:t>
      </w:r>
      <w:proofErr w:type="gramStart"/>
      <w:r w:rsidR="005C3BF5">
        <w:rPr>
          <w:rFonts w:ascii="Arial" w:hAnsi="Arial" w:cs="Arial"/>
          <w:sz w:val="22"/>
          <w:szCs w:val="22"/>
          <w:lang w:val="es-MX"/>
        </w:rPr>
        <w:t>traslada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</w:t>
      </w:r>
      <w:r w:rsidR="00462274">
        <w:rPr>
          <w:rFonts w:ascii="Arial" w:hAnsi="Arial" w:cs="Arial"/>
          <w:sz w:val="22"/>
          <w:szCs w:val="22"/>
          <w:lang w:val="es-MX"/>
        </w:rPr>
        <w:t xml:space="preserve"> a</w:t>
      </w:r>
      <w:proofErr w:type="gramEnd"/>
      <w:r w:rsidR="00462274">
        <w:rPr>
          <w:rFonts w:ascii="Arial" w:hAnsi="Arial" w:cs="Arial"/>
          <w:sz w:val="22"/>
          <w:szCs w:val="22"/>
          <w:lang w:val="es-MX"/>
        </w:rPr>
        <w:t xml:space="preserve"> una </w:t>
      </w:r>
      <w:r w:rsidR="006D4CFE">
        <w:rPr>
          <w:rFonts w:ascii="Arial" w:hAnsi="Arial" w:cs="Arial"/>
          <w:sz w:val="22"/>
          <w:szCs w:val="22"/>
          <w:lang w:val="es-MX"/>
        </w:rPr>
        <w:t xml:space="preserve">puntuación tal que </w:t>
      </w:r>
      <w:r w:rsidR="00B83B43">
        <w:rPr>
          <w:rFonts w:ascii="Arial" w:hAnsi="Arial" w:cs="Arial"/>
          <w:sz w:val="22"/>
          <w:szCs w:val="22"/>
          <w:lang w:val="es-MX"/>
        </w:rPr>
        <w:t>la población tiene</w:t>
      </w:r>
      <w:r w:rsidR="00EE0CF1">
        <w:rPr>
          <w:rFonts w:ascii="Arial" w:hAnsi="Arial" w:cs="Arial"/>
          <w:sz w:val="22"/>
          <w:szCs w:val="22"/>
          <w:lang w:val="es-MX"/>
        </w:rPr>
        <w:t xml:space="preserve"> </w:t>
      </w:r>
      <w:r w:rsidR="00462274">
        <w:rPr>
          <w:rFonts w:ascii="Arial" w:hAnsi="Arial" w:cs="Arial"/>
          <w:sz w:val="22"/>
          <w:szCs w:val="22"/>
          <w:lang w:val="es-MX"/>
        </w:rPr>
        <w:t xml:space="preserve">media 1 </w:t>
      </w:r>
      <w:r w:rsidR="00EE0CF1">
        <w:rPr>
          <w:rFonts w:ascii="Arial" w:hAnsi="Arial" w:cs="Arial"/>
          <w:sz w:val="22"/>
          <w:szCs w:val="22"/>
          <w:lang w:val="es-MX"/>
        </w:rPr>
        <w:t>y</w:t>
      </w:r>
      <w:r w:rsidR="00462274">
        <w:rPr>
          <w:rFonts w:ascii="Arial" w:hAnsi="Arial" w:cs="Arial"/>
          <w:sz w:val="22"/>
          <w:szCs w:val="22"/>
          <w:lang w:val="es-MX"/>
        </w:rPr>
        <w:t xml:space="preserve"> desviación estándar de 0.5</w:t>
      </w:r>
      <w:r w:rsidR="00C52809">
        <w:rPr>
          <w:rFonts w:ascii="Arial" w:hAnsi="Arial" w:cs="Arial"/>
          <w:sz w:val="22"/>
          <w:szCs w:val="22"/>
          <w:lang w:val="es-MX"/>
        </w:rPr>
        <w:t xml:space="preserve"> y </w:t>
      </w:r>
      <w:r w:rsidR="00A64194">
        <w:rPr>
          <w:rFonts w:ascii="Arial" w:hAnsi="Arial" w:cs="Arial"/>
          <w:sz w:val="22"/>
          <w:szCs w:val="22"/>
          <w:lang w:val="es-MX"/>
        </w:rPr>
        <w:t>está ubicada</w:t>
      </w:r>
      <w:r w:rsidR="00462274">
        <w:rPr>
          <w:rFonts w:ascii="Arial" w:hAnsi="Arial" w:cs="Arial"/>
          <w:sz w:val="22"/>
          <w:szCs w:val="22"/>
          <w:lang w:val="es-MX"/>
        </w:rPr>
        <w:t xml:space="preserve"> en el </w:t>
      </w:r>
      <w:r w:rsidR="00093D3C" w:rsidRPr="00735574">
        <w:rPr>
          <w:rFonts w:ascii="Arial" w:hAnsi="Arial" w:cs="Arial"/>
          <w:sz w:val="22"/>
          <w:szCs w:val="22"/>
          <w:lang w:val="es-MX"/>
        </w:rPr>
        <w:t>intervalo [0, 2]</w:t>
      </w:r>
      <w:r w:rsidR="00A64194">
        <w:rPr>
          <w:rFonts w:ascii="Arial" w:hAnsi="Arial" w:cs="Arial"/>
          <w:sz w:val="22"/>
          <w:szCs w:val="22"/>
          <w:lang w:val="es-MX"/>
        </w:rPr>
        <w:t>.</w:t>
      </w:r>
      <w:r w:rsidR="00015B1E">
        <w:rPr>
          <w:rFonts w:ascii="Arial" w:hAnsi="Arial" w:cs="Arial"/>
          <w:sz w:val="22"/>
          <w:szCs w:val="22"/>
          <w:lang w:val="es-MX"/>
        </w:rPr>
        <w:t xml:space="preserve"> </w:t>
      </w:r>
      <w:r w:rsidR="008F50C8">
        <w:rPr>
          <w:rFonts w:ascii="Arial" w:hAnsi="Arial" w:cs="Arial"/>
          <w:sz w:val="22"/>
          <w:szCs w:val="22"/>
          <w:lang w:val="es-MX"/>
        </w:rPr>
        <w:t xml:space="preserve">Cuando </w:t>
      </w:r>
      <w:r w:rsidR="005340D9">
        <w:rPr>
          <w:rFonts w:ascii="Arial" w:hAnsi="Arial" w:cs="Arial"/>
          <w:sz w:val="22"/>
          <w:szCs w:val="22"/>
          <w:lang w:val="es-MX"/>
        </w:rPr>
        <w:t>puntuaci</w:t>
      </w:r>
      <w:r w:rsidR="008F50C8">
        <w:rPr>
          <w:rFonts w:ascii="Arial" w:hAnsi="Arial" w:cs="Arial"/>
          <w:sz w:val="22"/>
          <w:szCs w:val="22"/>
          <w:lang w:val="es-MX"/>
        </w:rPr>
        <w:t>ón</w:t>
      </w:r>
      <w:r w:rsidR="005340D9">
        <w:rPr>
          <w:rFonts w:ascii="Arial" w:hAnsi="Arial" w:cs="Arial"/>
          <w:sz w:val="22"/>
          <w:szCs w:val="22"/>
          <w:lang w:val="es-MX"/>
        </w:rPr>
        <w:t xml:space="preserve"> trasladada </w:t>
      </w:r>
      <w:r w:rsidR="005C3BF5">
        <w:rPr>
          <w:rFonts w:ascii="Arial" w:hAnsi="Arial" w:cs="Arial"/>
          <w:sz w:val="22"/>
          <w:szCs w:val="22"/>
          <w:lang w:val="es-MX"/>
        </w:rPr>
        <w:t>sale</w:t>
      </w:r>
      <w:r w:rsidR="00355DF9">
        <w:rPr>
          <w:rFonts w:ascii="Arial" w:hAnsi="Arial" w:cs="Arial"/>
          <w:sz w:val="22"/>
          <w:szCs w:val="22"/>
          <w:lang w:val="es-MX"/>
        </w:rPr>
        <w:t xml:space="preserve"> del </w:t>
      </w:r>
      <w:r w:rsidR="00552DE5">
        <w:rPr>
          <w:rFonts w:ascii="Arial" w:hAnsi="Arial" w:cs="Arial"/>
          <w:sz w:val="22"/>
          <w:szCs w:val="22"/>
          <w:lang w:val="es-MX"/>
        </w:rPr>
        <w:t>intervalo</w:t>
      </w:r>
      <w:r w:rsidR="008F50C8">
        <w:rPr>
          <w:rFonts w:ascii="Arial" w:hAnsi="Arial" w:cs="Arial"/>
          <w:sz w:val="22"/>
          <w:szCs w:val="22"/>
          <w:lang w:val="es-MX"/>
        </w:rPr>
        <w:t>,</w:t>
      </w:r>
      <w:r w:rsidR="00355DF9">
        <w:rPr>
          <w:rFonts w:ascii="Arial" w:hAnsi="Arial" w:cs="Arial"/>
          <w:sz w:val="22"/>
          <w:szCs w:val="22"/>
          <w:lang w:val="es-MX"/>
        </w:rPr>
        <w:t xml:space="preserve"> se </w:t>
      </w:r>
      <w:r w:rsidR="00552DE5">
        <w:rPr>
          <w:rFonts w:ascii="Arial" w:hAnsi="Arial" w:cs="Arial"/>
          <w:sz w:val="22"/>
          <w:szCs w:val="22"/>
          <w:lang w:val="es-MX"/>
        </w:rPr>
        <w:t>ubic</w:t>
      </w:r>
      <w:r w:rsidR="005C3BF5">
        <w:rPr>
          <w:rFonts w:ascii="Arial" w:hAnsi="Arial" w:cs="Arial"/>
          <w:sz w:val="22"/>
          <w:szCs w:val="22"/>
          <w:lang w:val="es-MX"/>
        </w:rPr>
        <w:t xml:space="preserve">a </w:t>
      </w:r>
      <w:r w:rsidR="00A8354C">
        <w:rPr>
          <w:rFonts w:ascii="Arial" w:hAnsi="Arial" w:cs="Arial"/>
          <w:sz w:val="22"/>
          <w:szCs w:val="22"/>
          <w:lang w:val="es-MX"/>
        </w:rPr>
        <w:t>dentro del intervalo</w:t>
      </w:r>
      <w:r w:rsidR="002308EB">
        <w:rPr>
          <w:rFonts w:ascii="Arial" w:hAnsi="Arial" w:cs="Arial"/>
          <w:sz w:val="22"/>
          <w:szCs w:val="22"/>
          <w:lang w:val="es-MX"/>
        </w:rPr>
        <w:t xml:space="preserve"> [0,</w:t>
      </w:r>
      <w:r w:rsidR="005C49A1">
        <w:rPr>
          <w:rFonts w:ascii="Arial" w:hAnsi="Arial" w:cs="Arial"/>
          <w:sz w:val="22"/>
          <w:szCs w:val="22"/>
          <w:lang w:val="es-MX"/>
        </w:rPr>
        <w:t>2</w:t>
      </w:r>
      <w:r w:rsidR="002308EB">
        <w:rPr>
          <w:rFonts w:ascii="Arial" w:hAnsi="Arial" w:cs="Arial"/>
          <w:sz w:val="22"/>
          <w:szCs w:val="22"/>
          <w:lang w:val="es-MX"/>
        </w:rPr>
        <w:t>]</w:t>
      </w:r>
      <w:r w:rsidR="005C3BF5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="005C3BF5">
        <w:rPr>
          <w:rFonts w:ascii="Arial" w:hAnsi="Arial" w:cs="Arial"/>
          <w:sz w:val="22"/>
          <w:szCs w:val="22"/>
          <w:lang w:val="es-MX"/>
        </w:rPr>
        <w:t>simplemento</w:t>
      </w:r>
      <w:proofErr w:type="spellEnd"/>
      <w:r w:rsidR="005C3BF5">
        <w:rPr>
          <w:rFonts w:ascii="Arial" w:hAnsi="Arial" w:cs="Arial"/>
          <w:sz w:val="22"/>
          <w:szCs w:val="22"/>
          <w:lang w:val="es-MX"/>
        </w:rPr>
        <w:t xml:space="preserve"> moviendo la puntuación al extremo correspondiente</w:t>
      </w:r>
      <w:r w:rsidR="005C49A1">
        <w:rPr>
          <w:rFonts w:ascii="Arial" w:hAnsi="Arial" w:cs="Arial"/>
          <w:sz w:val="22"/>
          <w:szCs w:val="22"/>
          <w:lang w:val="es-MX"/>
        </w:rPr>
        <w:t xml:space="preserve">. </w:t>
      </w:r>
      <w:r w:rsidR="00AD0F96">
        <w:rPr>
          <w:rFonts w:ascii="Arial" w:hAnsi="Arial" w:cs="Arial"/>
          <w:sz w:val="22"/>
          <w:szCs w:val="22"/>
          <w:lang w:val="es-MX"/>
        </w:rPr>
        <w:t xml:space="preserve">La asignación del nivel para cada ATP </w:t>
      </w:r>
      <w:r w:rsidR="00A03920">
        <w:rPr>
          <w:rFonts w:ascii="Arial" w:hAnsi="Arial" w:cs="Arial"/>
          <w:sz w:val="22"/>
          <w:szCs w:val="22"/>
          <w:lang w:val="es-MX"/>
        </w:rPr>
        <w:t>se construye</w:t>
      </w:r>
      <w:r w:rsidR="00AD0F96">
        <w:rPr>
          <w:rFonts w:ascii="Arial" w:hAnsi="Arial" w:cs="Arial"/>
          <w:sz w:val="22"/>
          <w:szCs w:val="22"/>
          <w:lang w:val="es-MX"/>
        </w:rPr>
        <w:t xml:space="preserve"> por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la suma de las puntuaciones</w:t>
      </w:r>
      <w:r w:rsidR="005C49A1">
        <w:rPr>
          <w:rFonts w:ascii="Arial" w:hAnsi="Arial" w:cs="Arial"/>
          <w:sz w:val="22"/>
          <w:szCs w:val="22"/>
          <w:lang w:val="es-MX"/>
        </w:rPr>
        <w:t xml:space="preserve"> trasladadas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de ambos instrumentos</w:t>
      </w:r>
      <w:r w:rsidR="00E9661A">
        <w:rPr>
          <w:rFonts w:ascii="Arial" w:hAnsi="Arial" w:cs="Arial"/>
          <w:sz w:val="22"/>
          <w:szCs w:val="22"/>
          <w:lang w:val="es-MX"/>
        </w:rPr>
        <w:t>,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</w:t>
      </w:r>
      <w:r w:rsidR="005C3BF5">
        <w:rPr>
          <w:rFonts w:ascii="Arial" w:hAnsi="Arial" w:cs="Arial"/>
          <w:sz w:val="22"/>
          <w:szCs w:val="22"/>
          <w:lang w:val="es-MX"/>
        </w:rPr>
        <w:t>la cual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se ubi</w:t>
      </w:r>
      <w:r w:rsidR="00F444AE">
        <w:rPr>
          <w:rFonts w:ascii="Arial" w:hAnsi="Arial" w:cs="Arial"/>
          <w:sz w:val="22"/>
          <w:szCs w:val="22"/>
          <w:lang w:val="es-MX"/>
        </w:rPr>
        <w:t>ca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en el intervalo [0, 4]</w:t>
      </w:r>
      <w:r w:rsidR="00704CF9">
        <w:rPr>
          <w:rFonts w:ascii="Arial" w:hAnsi="Arial" w:cs="Arial"/>
          <w:sz w:val="22"/>
          <w:szCs w:val="22"/>
          <w:lang w:val="es-MX"/>
        </w:rPr>
        <w:t xml:space="preserve"> </w:t>
      </w:r>
      <w:r w:rsidR="004872B3" w:rsidRPr="00735574">
        <w:rPr>
          <w:rFonts w:ascii="Arial" w:hAnsi="Arial" w:cs="Arial"/>
          <w:sz w:val="22"/>
          <w:szCs w:val="22"/>
          <w:lang w:val="es-MX"/>
        </w:rPr>
        <w:t xml:space="preserve">considerando que cada uno de ellos contribuye en igual magnitud. </w:t>
      </w:r>
      <w:r w:rsidR="00455946">
        <w:rPr>
          <w:rFonts w:ascii="Arial" w:hAnsi="Arial" w:cs="Arial"/>
          <w:sz w:val="22"/>
          <w:szCs w:val="22"/>
          <w:lang w:val="es-MX"/>
        </w:rPr>
        <w:t>El Nivel asignado está constituido por cuatro categorías denotad</w:t>
      </w:r>
      <w:r w:rsidR="005C3BF5">
        <w:rPr>
          <w:rFonts w:ascii="Arial" w:hAnsi="Arial" w:cs="Arial"/>
          <w:sz w:val="22"/>
          <w:szCs w:val="22"/>
          <w:lang w:val="es-MX"/>
        </w:rPr>
        <w:t>a</w:t>
      </w:r>
      <w:r w:rsidR="00455946">
        <w:rPr>
          <w:rFonts w:ascii="Arial" w:hAnsi="Arial" w:cs="Arial"/>
          <w:sz w:val="22"/>
          <w:szCs w:val="22"/>
          <w:lang w:val="es-MX"/>
        </w:rPr>
        <w:t xml:space="preserve">s como: </w:t>
      </w:r>
      <w:r w:rsidR="00455946" w:rsidRPr="00735574">
        <w:rPr>
          <w:rFonts w:ascii="Arial" w:hAnsi="Arial" w:cs="Arial"/>
          <w:sz w:val="22"/>
          <w:szCs w:val="22"/>
          <w:lang w:val="es-MX"/>
        </w:rPr>
        <w:t>NI, NII, N</w:t>
      </w:r>
      <w:r w:rsidR="00455946">
        <w:rPr>
          <w:rFonts w:ascii="Arial" w:hAnsi="Arial" w:cs="Arial"/>
          <w:sz w:val="22"/>
          <w:szCs w:val="22"/>
          <w:lang w:val="es-MX"/>
        </w:rPr>
        <w:t>III y</w:t>
      </w:r>
      <w:r w:rsidR="00455946" w:rsidRPr="00735574">
        <w:rPr>
          <w:rFonts w:ascii="Arial" w:hAnsi="Arial" w:cs="Arial"/>
          <w:sz w:val="22"/>
          <w:szCs w:val="22"/>
          <w:lang w:val="es-MX"/>
        </w:rPr>
        <w:t xml:space="preserve"> NIV</w:t>
      </w:r>
    </w:p>
    <w:p w:rsidR="004872B3" w:rsidRPr="00735574" w:rsidRDefault="004872B3" w:rsidP="004872B3">
      <w:pPr>
        <w:rPr>
          <w:rFonts w:ascii="Arial" w:hAnsi="Arial" w:cs="Arial"/>
          <w:sz w:val="22"/>
          <w:szCs w:val="22"/>
          <w:lang w:val="es-MX"/>
        </w:rPr>
      </w:pPr>
      <w:r w:rsidRPr="00735574">
        <w:rPr>
          <w:rFonts w:ascii="Arial" w:hAnsi="Arial" w:cs="Arial"/>
          <w:sz w:val="22"/>
          <w:szCs w:val="22"/>
          <w:lang w:val="es-MX"/>
        </w:rPr>
        <w:t>La asignación del nivel de cumplimiento deberá asignarse de acuerdo a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2102"/>
      </w:tblGrid>
      <w:tr w:rsidR="004872B3" w:rsidRPr="00735574" w:rsidTr="00D27AAB">
        <w:trPr>
          <w:jc w:val="center"/>
        </w:trPr>
        <w:tc>
          <w:tcPr>
            <w:tcW w:w="4414" w:type="dxa"/>
            <w:shd w:val="clear" w:color="auto" w:fill="B8CCE4" w:themeFill="accent1" w:themeFillTint="66"/>
          </w:tcPr>
          <w:p w:rsidR="004872B3" w:rsidRPr="00D27AAB" w:rsidRDefault="004872B3" w:rsidP="00D27AA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D27AAB">
              <w:rPr>
                <w:rFonts w:ascii="Arial" w:hAnsi="Arial" w:cs="Arial"/>
                <w:b/>
                <w:sz w:val="22"/>
                <w:szCs w:val="22"/>
                <w:lang w:val="es-MX"/>
              </w:rPr>
              <w:t>Suma de puntuaciones de ambos instrumentos</w:t>
            </w:r>
          </w:p>
        </w:tc>
        <w:tc>
          <w:tcPr>
            <w:tcW w:w="2102" w:type="dxa"/>
            <w:shd w:val="clear" w:color="auto" w:fill="B8CCE4" w:themeFill="accent1" w:themeFillTint="66"/>
          </w:tcPr>
          <w:p w:rsidR="004872B3" w:rsidRPr="00D27AAB" w:rsidRDefault="004872B3" w:rsidP="00D27AA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D27AAB">
              <w:rPr>
                <w:rFonts w:ascii="Arial" w:hAnsi="Arial" w:cs="Arial"/>
                <w:b/>
                <w:sz w:val="22"/>
                <w:szCs w:val="22"/>
                <w:lang w:val="es-MX"/>
              </w:rPr>
              <w:t>Nivel de cumplimiento</w:t>
            </w:r>
          </w:p>
        </w:tc>
      </w:tr>
      <w:tr w:rsidR="004872B3" w:rsidRPr="00735574" w:rsidTr="00730249">
        <w:trPr>
          <w:jc w:val="center"/>
        </w:trPr>
        <w:tc>
          <w:tcPr>
            <w:tcW w:w="4414" w:type="dxa"/>
          </w:tcPr>
          <w:p w:rsidR="004872B3" w:rsidRPr="00735574" w:rsidRDefault="004872B3" w:rsidP="00D27AAB">
            <w:pPr>
              <w:jc w:val="lef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De cero a uno [0, 1]</w:t>
            </w:r>
          </w:p>
        </w:tc>
        <w:tc>
          <w:tcPr>
            <w:tcW w:w="2102" w:type="dxa"/>
          </w:tcPr>
          <w:p w:rsidR="004872B3" w:rsidRPr="00735574" w:rsidRDefault="004872B3" w:rsidP="000466C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NI</w:t>
            </w:r>
          </w:p>
        </w:tc>
      </w:tr>
      <w:tr w:rsidR="004872B3" w:rsidRPr="00735574" w:rsidTr="00730249">
        <w:trPr>
          <w:jc w:val="center"/>
        </w:trPr>
        <w:tc>
          <w:tcPr>
            <w:tcW w:w="4414" w:type="dxa"/>
          </w:tcPr>
          <w:p w:rsidR="004872B3" w:rsidRPr="00735574" w:rsidRDefault="004872B3" w:rsidP="00D27AAB">
            <w:pPr>
              <w:jc w:val="lef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Mayor a uno hasta dos (1, 2]</w:t>
            </w:r>
          </w:p>
        </w:tc>
        <w:tc>
          <w:tcPr>
            <w:tcW w:w="2102" w:type="dxa"/>
          </w:tcPr>
          <w:p w:rsidR="004872B3" w:rsidRPr="00735574" w:rsidRDefault="004872B3" w:rsidP="000466C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NII</w:t>
            </w:r>
          </w:p>
        </w:tc>
      </w:tr>
      <w:tr w:rsidR="004872B3" w:rsidRPr="00735574" w:rsidTr="00730249">
        <w:trPr>
          <w:jc w:val="center"/>
        </w:trPr>
        <w:tc>
          <w:tcPr>
            <w:tcW w:w="4414" w:type="dxa"/>
          </w:tcPr>
          <w:p w:rsidR="004872B3" w:rsidRPr="00735574" w:rsidRDefault="004872B3" w:rsidP="00D27AAB">
            <w:pPr>
              <w:jc w:val="lef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Mayor a dos hasta tres (2, 3]</w:t>
            </w:r>
          </w:p>
        </w:tc>
        <w:tc>
          <w:tcPr>
            <w:tcW w:w="2102" w:type="dxa"/>
          </w:tcPr>
          <w:p w:rsidR="004872B3" w:rsidRPr="00735574" w:rsidRDefault="004872B3" w:rsidP="000466C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NIII</w:t>
            </w:r>
          </w:p>
        </w:tc>
      </w:tr>
      <w:tr w:rsidR="004872B3" w:rsidRPr="00735574" w:rsidTr="00730249">
        <w:trPr>
          <w:jc w:val="center"/>
        </w:trPr>
        <w:tc>
          <w:tcPr>
            <w:tcW w:w="4414" w:type="dxa"/>
          </w:tcPr>
          <w:p w:rsidR="004872B3" w:rsidRPr="00735574" w:rsidRDefault="004872B3" w:rsidP="00D27AAB">
            <w:pPr>
              <w:jc w:val="lef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Mayor a tres hasta cuatro (3, 4]</w:t>
            </w:r>
          </w:p>
        </w:tc>
        <w:tc>
          <w:tcPr>
            <w:tcW w:w="2102" w:type="dxa"/>
          </w:tcPr>
          <w:p w:rsidR="004872B3" w:rsidRPr="00735574" w:rsidRDefault="004872B3" w:rsidP="000466C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5574">
              <w:rPr>
                <w:rFonts w:ascii="Arial" w:hAnsi="Arial" w:cs="Arial"/>
                <w:sz w:val="22"/>
                <w:szCs w:val="22"/>
                <w:lang w:val="es-MX"/>
              </w:rPr>
              <w:t>NIV</w:t>
            </w:r>
          </w:p>
        </w:tc>
      </w:tr>
    </w:tbl>
    <w:p w:rsidR="00616A9B" w:rsidRDefault="00616A9B" w:rsidP="00093D3C">
      <w:pPr>
        <w:rPr>
          <w:rFonts w:ascii="Arial" w:hAnsi="Arial" w:cs="Arial"/>
          <w:sz w:val="22"/>
          <w:szCs w:val="22"/>
          <w:lang w:val="es-MX"/>
        </w:rPr>
      </w:pPr>
    </w:p>
    <w:p w:rsidR="00093D3C" w:rsidRPr="00735574" w:rsidRDefault="00D27AAB" w:rsidP="00093D3C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Si un instrumento no fue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presentado, se</w:t>
      </w:r>
      <w:r>
        <w:rPr>
          <w:rFonts w:ascii="Arial" w:hAnsi="Arial" w:cs="Arial"/>
          <w:sz w:val="22"/>
          <w:szCs w:val="22"/>
          <w:lang w:val="es-MX"/>
        </w:rPr>
        <w:t xml:space="preserve"> le asignó</w:t>
      </w:r>
      <w:r w:rsidR="00093D3C" w:rsidRPr="00735574">
        <w:rPr>
          <w:rFonts w:ascii="Arial" w:hAnsi="Arial" w:cs="Arial"/>
          <w:sz w:val="22"/>
          <w:szCs w:val="22"/>
          <w:lang w:val="es-MX"/>
        </w:rPr>
        <w:t xml:space="preserve"> una puntuación de cero. </w:t>
      </w:r>
    </w:p>
    <w:p w:rsidR="00EF620B" w:rsidRDefault="00D377AC" w:rsidP="00093D3C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En el archivo de datos con las puntuaciones trasladadas y la clasificación de éstas en niveles se incluyen </w:t>
      </w:r>
      <w:r w:rsidR="00A468D0">
        <w:rPr>
          <w:rFonts w:ascii="Arial" w:hAnsi="Arial" w:cs="Arial"/>
          <w:sz w:val="22"/>
          <w:szCs w:val="22"/>
          <w:lang w:val="es-MX"/>
        </w:rPr>
        <w:t>las</w:t>
      </w:r>
      <w:r w:rsidR="00867E9D">
        <w:rPr>
          <w:rFonts w:ascii="Arial" w:hAnsi="Arial" w:cs="Arial"/>
          <w:sz w:val="22"/>
          <w:szCs w:val="22"/>
          <w:lang w:val="es-MX"/>
        </w:rPr>
        <w:t xml:space="preserve"> variables </w:t>
      </w:r>
      <w:r w:rsidR="0072259D">
        <w:rPr>
          <w:rFonts w:ascii="Arial" w:hAnsi="Arial" w:cs="Arial"/>
          <w:sz w:val="22"/>
          <w:szCs w:val="22"/>
          <w:lang w:val="es-MX"/>
        </w:rPr>
        <w:t xml:space="preserve">empleadas durante el proceso </w:t>
      </w:r>
      <w:r w:rsidR="00F635B6">
        <w:rPr>
          <w:rFonts w:ascii="Arial" w:hAnsi="Arial" w:cs="Arial"/>
          <w:sz w:val="22"/>
          <w:szCs w:val="22"/>
          <w:lang w:val="es-MX"/>
        </w:rPr>
        <w:t xml:space="preserve">de cada cuestionario distinguiéndolas por la terminación “9” y “10” en la </w:t>
      </w:r>
      <w:r w:rsidR="00F67EEC">
        <w:rPr>
          <w:rFonts w:ascii="Arial" w:hAnsi="Arial" w:cs="Arial"/>
          <w:sz w:val="22"/>
          <w:szCs w:val="22"/>
          <w:lang w:val="es-MX"/>
        </w:rPr>
        <w:t xml:space="preserve">clasificación </w:t>
      </w:r>
      <w:r w:rsidR="00043B21">
        <w:rPr>
          <w:rFonts w:ascii="Arial" w:hAnsi="Arial" w:cs="Arial"/>
          <w:sz w:val="22"/>
          <w:szCs w:val="22"/>
          <w:lang w:val="es-MX"/>
        </w:rPr>
        <w:t xml:space="preserve">que </w:t>
      </w:r>
      <w:r w:rsidR="000850AB">
        <w:rPr>
          <w:rFonts w:ascii="Arial" w:hAnsi="Arial" w:cs="Arial"/>
          <w:sz w:val="22"/>
          <w:szCs w:val="22"/>
          <w:lang w:val="es-MX"/>
        </w:rPr>
        <w:t>presenta</w:t>
      </w:r>
      <w:r w:rsidR="00043B21">
        <w:rPr>
          <w:rFonts w:ascii="Arial" w:hAnsi="Arial" w:cs="Arial"/>
          <w:sz w:val="22"/>
          <w:szCs w:val="22"/>
          <w:lang w:val="es-MX"/>
        </w:rPr>
        <w:t xml:space="preserve"> el archivo </w:t>
      </w:r>
      <w:r w:rsidR="000850AB">
        <w:rPr>
          <w:rFonts w:ascii="Arial" w:hAnsi="Arial" w:cs="Arial"/>
          <w:sz w:val="22"/>
          <w:szCs w:val="22"/>
          <w:lang w:val="es-MX"/>
        </w:rPr>
        <w:t>la información recibida</w:t>
      </w:r>
      <w:r w:rsidR="00043B21">
        <w:rPr>
          <w:rFonts w:ascii="Arial" w:hAnsi="Arial" w:cs="Arial"/>
          <w:sz w:val="22"/>
          <w:szCs w:val="22"/>
          <w:lang w:val="es-MX"/>
        </w:rPr>
        <w:t xml:space="preserve">. </w:t>
      </w:r>
    </w:p>
    <w:p w:rsidR="00EF620B" w:rsidRDefault="00EF620B" w:rsidP="00093D3C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si</w:t>
      </w:r>
      <w:r w:rsidR="00616A9B">
        <w:rPr>
          <w:rFonts w:ascii="Arial" w:hAnsi="Arial" w:cs="Arial"/>
          <w:sz w:val="22"/>
          <w:szCs w:val="22"/>
          <w:lang w:val="es-MX"/>
        </w:rPr>
        <w:t>guiente tabla enlista y describe las variables</w:t>
      </w:r>
      <w:r w:rsidR="001916BB">
        <w:rPr>
          <w:rFonts w:ascii="Arial" w:hAnsi="Arial" w:cs="Arial"/>
          <w:sz w:val="22"/>
          <w:szCs w:val="22"/>
          <w:lang w:val="es-MX"/>
        </w:rPr>
        <w:t xml:space="preserve"> </w:t>
      </w:r>
      <w:r w:rsidR="00616A9B">
        <w:rPr>
          <w:rFonts w:ascii="Arial" w:hAnsi="Arial" w:cs="Arial"/>
          <w:sz w:val="22"/>
          <w:szCs w:val="22"/>
          <w:lang w:val="es-MX"/>
        </w:rPr>
        <w:t>agregadas</w:t>
      </w:r>
      <w:r w:rsidR="00385D3C">
        <w:rPr>
          <w:rFonts w:ascii="Arial" w:hAnsi="Arial" w:cs="Arial"/>
          <w:sz w:val="22"/>
          <w:szCs w:val="22"/>
          <w:lang w:val="es-MX"/>
        </w:rPr>
        <w:t xml:space="preserve"> </w:t>
      </w:r>
      <w:r w:rsidR="005447AA">
        <w:rPr>
          <w:rFonts w:ascii="Arial" w:hAnsi="Arial" w:cs="Arial"/>
          <w:sz w:val="22"/>
          <w:szCs w:val="22"/>
          <w:lang w:val="es-MX"/>
        </w:rPr>
        <w:t>a</w:t>
      </w:r>
      <w:r w:rsidR="00616A9B">
        <w:rPr>
          <w:rFonts w:ascii="Arial" w:hAnsi="Arial" w:cs="Arial"/>
          <w:sz w:val="22"/>
          <w:szCs w:val="22"/>
          <w:lang w:val="es-MX"/>
        </w:rPr>
        <w:t>l archivo de datos.</w:t>
      </w:r>
      <w:r w:rsidR="00CA031E">
        <w:rPr>
          <w:rFonts w:ascii="Arial" w:hAnsi="Arial" w:cs="Arial"/>
          <w:sz w:val="22"/>
          <w:szCs w:val="22"/>
          <w:lang w:val="es-MX"/>
        </w:rPr>
        <w:t xml:space="preserve"> </w:t>
      </w:r>
      <w:r w:rsidR="00A77A8C">
        <w:rPr>
          <w:rFonts w:ascii="Arial" w:hAnsi="Arial" w:cs="Arial"/>
          <w:sz w:val="22"/>
          <w:szCs w:val="22"/>
          <w:lang w:val="es-MX"/>
        </w:rPr>
        <w:t xml:space="preserve">Las </w:t>
      </w:r>
      <w:r w:rsidR="008F1532">
        <w:rPr>
          <w:rFonts w:ascii="Arial" w:hAnsi="Arial" w:cs="Arial"/>
          <w:sz w:val="22"/>
          <w:szCs w:val="22"/>
          <w:lang w:val="es-MX"/>
        </w:rPr>
        <w:t xml:space="preserve">que </w:t>
      </w:r>
      <w:r w:rsidR="00CF1D8B">
        <w:rPr>
          <w:rFonts w:ascii="Arial" w:hAnsi="Arial" w:cs="Arial"/>
          <w:sz w:val="22"/>
          <w:szCs w:val="22"/>
          <w:lang w:val="es-MX"/>
        </w:rPr>
        <w:t xml:space="preserve">se distinguen por terminar en </w:t>
      </w:r>
      <w:r w:rsidR="00CA031E">
        <w:rPr>
          <w:rFonts w:ascii="Arial" w:hAnsi="Arial" w:cs="Arial"/>
          <w:sz w:val="22"/>
          <w:szCs w:val="22"/>
          <w:lang w:val="es-MX"/>
        </w:rPr>
        <w:t>lleva</w:t>
      </w:r>
      <w:r w:rsidR="00A77A8C">
        <w:rPr>
          <w:rFonts w:ascii="Arial" w:hAnsi="Arial" w:cs="Arial"/>
          <w:sz w:val="22"/>
          <w:szCs w:val="22"/>
          <w:lang w:val="es-MX"/>
        </w:rPr>
        <w:t>n</w:t>
      </w:r>
      <w:r w:rsidR="00CA031E">
        <w:rPr>
          <w:rFonts w:ascii="Arial" w:hAnsi="Arial" w:cs="Arial"/>
          <w:sz w:val="22"/>
          <w:szCs w:val="22"/>
          <w:lang w:val="es-MX"/>
        </w:rPr>
        <w:t xml:space="preserve"> </w:t>
      </w:r>
      <w:r w:rsidR="00A77A8C">
        <w:rPr>
          <w:rFonts w:ascii="Arial" w:hAnsi="Arial" w:cs="Arial"/>
          <w:sz w:val="22"/>
          <w:szCs w:val="22"/>
          <w:lang w:val="es-MX"/>
        </w:rPr>
        <w:t>l</w:t>
      </w:r>
      <w:r w:rsidR="00CA031E">
        <w:rPr>
          <w:rFonts w:ascii="Arial" w:hAnsi="Arial" w:cs="Arial"/>
          <w:sz w:val="22"/>
          <w:szCs w:val="22"/>
          <w:lang w:val="es-MX"/>
        </w:rPr>
        <w:t xml:space="preserve">a terminación </w:t>
      </w:r>
      <w:r w:rsidR="00CF1D8B">
        <w:rPr>
          <w:rFonts w:ascii="Arial" w:hAnsi="Arial" w:cs="Arial"/>
          <w:sz w:val="22"/>
          <w:szCs w:val="22"/>
          <w:lang w:val="es-MX"/>
        </w:rPr>
        <w:t>“9” y “10”</w:t>
      </w:r>
      <w:r w:rsidR="00A77A8C">
        <w:rPr>
          <w:rFonts w:ascii="Arial" w:hAnsi="Arial" w:cs="Arial"/>
          <w:sz w:val="22"/>
          <w:szCs w:val="22"/>
          <w:lang w:val="es-MX"/>
        </w:rPr>
        <w:t xml:space="preserve"> son: “delta”, “</w:t>
      </w:r>
      <w:proofErr w:type="spellStart"/>
      <w:r w:rsidR="00A77A8C">
        <w:rPr>
          <w:rFonts w:ascii="Arial" w:hAnsi="Arial" w:cs="Arial"/>
          <w:sz w:val="22"/>
          <w:szCs w:val="22"/>
          <w:lang w:val="es-MX"/>
        </w:rPr>
        <w:t>ee</w:t>
      </w:r>
      <w:proofErr w:type="spellEnd"/>
      <w:r w:rsidR="00A77A8C">
        <w:rPr>
          <w:rFonts w:ascii="Arial" w:hAnsi="Arial" w:cs="Arial"/>
          <w:sz w:val="22"/>
          <w:szCs w:val="22"/>
          <w:lang w:val="es-MX"/>
        </w:rPr>
        <w:t>”, “media”, “de” y “</w:t>
      </w:r>
      <w:proofErr w:type="spellStart"/>
      <w:r w:rsidR="00A77A8C">
        <w:rPr>
          <w:rFonts w:ascii="Arial" w:hAnsi="Arial" w:cs="Arial"/>
          <w:sz w:val="22"/>
          <w:szCs w:val="22"/>
          <w:lang w:val="es-MX"/>
        </w:rPr>
        <w:t>deltay</w:t>
      </w:r>
      <w:proofErr w:type="spellEnd"/>
      <w:r w:rsidR="00A77A8C">
        <w:rPr>
          <w:rFonts w:ascii="Arial" w:hAnsi="Arial" w:cs="Arial"/>
          <w:sz w:val="22"/>
          <w:szCs w:val="22"/>
          <w:lang w:val="es-MX"/>
        </w:rPr>
        <w:t>”, las otras son comunes.</w:t>
      </w:r>
    </w:p>
    <w:p w:rsidR="00616A9B" w:rsidRDefault="004B3BD4" w:rsidP="00BF2A7C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4B3BD4">
        <w:rPr>
          <w:noProof/>
          <w:lang w:val="es-MX" w:eastAsia="es-MX"/>
        </w:rPr>
        <w:lastRenderedPageBreak/>
        <w:drawing>
          <wp:anchor distT="0" distB="0" distL="114300" distR="114300" simplePos="0" relativeHeight="251658244" behindDoc="0" locked="0" layoutInCell="1" allowOverlap="1" wp14:anchorId="74D5FE42" wp14:editId="7BA1B34B">
            <wp:simplePos x="0" y="0"/>
            <wp:positionH relativeFrom="column">
              <wp:posOffset>737870</wp:posOffset>
            </wp:positionH>
            <wp:positionV relativeFrom="paragraph">
              <wp:posOffset>2540</wp:posOffset>
            </wp:positionV>
            <wp:extent cx="4696460" cy="2984500"/>
            <wp:effectExtent l="0" t="0" r="8890" b="635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6A9B" w:rsidRDefault="008F1532" w:rsidP="00093D3C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Finalmente, en la siguiente t</w:t>
      </w:r>
      <w:r w:rsidR="00565582">
        <w:rPr>
          <w:rFonts w:ascii="Arial" w:hAnsi="Arial" w:cs="Arial"/>
          <w:sz w:val="22"/>
          <w:szCs w:val="22"/>
          <w:lang w:val="es-MX"/>
        </w:rPr>
        <w:t xml:space="preserve">abla se muestra el número </w:t>
      </w:r>
      <w:r>
        <w:rPr>
          <w:rFonts w:ascii="Arial" w:hAnsi="Arial" w:cs="Arial"/>
          <w:sz w:val="22"/>
          <w:szCs w:val="22"/>
          <w:lang w:val="es-MX"/>
        </w:rPr>
        <w:t>de sust</w:t>
      </w:r>
      <w:r w:rsidR="0011304C">
        <w:rPr>
          <w:rFonts w:ascii="Arial" w:hAnsi="Arial" w:cs="Arial"/>
          <w:sz w:val="22"/>
          <w:szCs w:val="22"/>
          <w:lang w:val="es-MX"/>
        </w:rPr>
        <w:t>entantes por</w:t>
      </w:r>
      <w:r w:rsidR="00D8610D">
        <w:rPr>
          <w:rFonts w:ascii="Arial" w:hAnsi="Arial" w:cs="Arial"/>
          <w:sz w:val="22"/>
          <w:szCs w:val="22"/>
          <w:lang w:val="es-MX"/>
        </w:rPr>
        <w:t xml:space="preserve"> nivel</w:t>
      </w:r>
      <w:r w:rsidR="00FC547F">
        <w:rPr>
          <w:rFonts w:ascii="Arial" w:hAnsi="Arial" w:cs="Arial"/>
          <w:sz w:val="22"/>
          <w:szCs w:val="22"/>
          <w:lang w:val="es-MX"/>
        </w:rPr>
        <w:t xml:space="preserve"> de cumplimiento</w:t>
      </w:r>
      <w:r w:rsidR="00BC6B65">
        <w:rPr>
          <w:rFonts w:ascii="Arial" w:hAnsi="Arial" w:cs="Arial"/>
          <w:sz w:val="22"/>
          <w:szCs w:val="22"/>
          <w:lang w:val="es-MX"/>
        </w:rPr>
        <w:t xml:space="preserve"> y su respectivo porcentaje</w:t>
      </w:r>
      <w:r w:rsidR="00D8610D">
        <w:rPr>
          <w:rFonts w:ascii="Arial" w:hAnsi="Arial" w:cs="Arial"/>
          <w:sz w:val="22"/>
          <w:szCs w:val="22"/>
          <w:lang w:val="es-MX"/>
        </w:rPr>
        <w:t>.</w:t>
      </w:r>
      <w:r w:rsidR="00BC6B65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FC547F" w:rsidRDefault="00FC547F" w:rsidP="00093D3C">
      <w:pPr>
        <w:rPr>
          <w:rFonts w:ascii="Arial" w:hAnsi="Arial" w:cs="Arial"/>
          <w:sz w:val="22"/>
          <w:szCs w:val="22"/>
          <w:lang w:val="es-MX"/>
        </w:rPr>
      </w:pPr>
    </w:p>
    <w:p w:rsidR="003839DE" w:rsidRDefault="00FC547F" w:rsidP="00FC547F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FC547F">
        <w:rPr>
          <w:noProof/>
          <w:lang w:val="es-MX" w:eastAsia="es-MX"/>
        </w:rPr>
        <w:drawing>
          <wp:anchor distT="0" distB="0" distL="114300" distR="114300" simplePos="0" relativeHeight="251658250" behindDoc="0" locked="0" layoutInCell="1" allowOverlap="1" wp14:anchorId="609141D8" wp14:editId="440E6F88">
            <wp:simplePos x="0" y="0"/>
            <wp:positionH relativeFrom="column">
              <wp:posOffset>1652270</wp:posOffset>
            </wp:positionH>
            <wp:positionV relativeFrom="paragraph">
              <wp:posOffset>-1905</wp:posOffset>
            </wp:positionV>
            <wp:extent cx="2867660" cy="1426210"/>
            <wp:effectExtent l="0" t="0" r="889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1803" w:rsidRDefault="00DB1803" w:rsidP="00093D3C">
      <w:pPr>
        <w:rPr>
          <w:rFonts w:ascii="Arial" w:hAnsi="Arial" w:cs="Arial"/>
          <w:sz w:val="22"/>
          <w:szCs w:val="22"/>
          <w:lang w:val="es-MX"/>
        </w:rPr>
      </w:pPr>
    </w:p>
    <w:p w:rsidR="00B2538E" w:rsidRDefault="000E760E" w:rsidP="00093D3C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</w:t>
      </w:r>
      <w:r w:rsidR="00F2748A">
        <w:rPr>
          <w:rFonts w:ascii="Arial" w:hAnsi="Arial" w:cs="Arial"/>
          <w:sz w:val="22"/>
          <w:szCs w:val="22"/>
          <w:lang w:val="es-MX"/>
        </w:rPr>
        <w:t>iendo notable que el 56.32</w:t>
      </w:r>
      <w:r w:rsidR="00032E1F">
        <w:rPr>
          <w:rFonts w:ascii="Arial" w:hAnsi="Arial" w:cs="Arial"/>
          <w:sz w:val="22"/>
          <w:szCs w:val="22"/>
          <w:lang w:val="es-MX"/>
        </w:rPr>
        <w:t>%</w:t>
      </w:r>
      <w:r>
        <w:rPr>
          <w:rFonts w:ascii="Arial" w:hAnsi="Arial" w:cs="Arial"/>
          <w:sz w:val="22"/>
          <w:szCs w:val="22"/>
          <w:lang w:val="es-MX"/>
        </w:rPr>
        <w:t xml:space="preserve"> de la población </w:t>
      </w:r>
      <w:r w:rsidR="00032E1F">
        <w:rPr>
          <w:rFonts w:ascii="Arial" w:hAnsi="Arial" w:cs="Arial"/>
          <w:sz w:val="22"/>
          <w:szCs w:val="22"/>
          <w:lang w:val="es-MX"/>
        </w:rPr>
        <w:t xml:space="preserve">se encuentra </w:t>
      </w:r>
      <w:r w:rsidR="00D01E44">
        <w:rPr>
          <w:rFonts w:ascii="Arial" w:hAnsi="Arial" w:cs="Arial"/>
          <w:sz w:val="22"/>
          <w:szCs w:val="22"/>
          <w:lang w:val="es-MX"/>
        </w:rPr>
        <w:t>e</w:t>
      </w:r>
      <w:r w:rsidR="00032E1F">
        <w:rPr>
          <w:rFonts w:ascii="Arial" w:hAnsi="Arial" w:cs="Arial"/>
          <w:sz w:val="22"/>
          <w:szCs w:val="22"/>
          <w:lang w:val="es-MX"/>
        </w:rPr>
        <w:t xml:space="preserve">n los dos primeros niveles. </w:t>
      </w:r>
      <w:r w:rsidR="00D01E44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EF620B" w:rsidRDefault="00EF620B">
      <w:pPr>
        <w:spacing w:before="0" w:after="0" w:line="240" w:lineRule="auto"/>
        <w:jc w:val="lef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br w:type="page"/>
      </w:r>
    </w:p>
    <w:p w:rsidR="002D62E4" w:rsidRDefault="002D62E4">
      <w:pPr>
        <w:spacing w:before="0" w:after="0" w:line="240" w:lineRule="auto"/>
        <w:jc w:val="left"/>
        <w:rPr>
          <w:lang w:val="es-MX"/>
        </w:rPr>
      </w:pPr>
    </w:p>
    <w:bookmarkStart w:id="49" w:name="asesor-tecnico-pedagogico" w:displacedByCustomXml="next"/>
    <w:bookmarkEnd w:id="49" w:displacedByCustomXml="next"/>
    <w:bookmarkStart w:id="50" w:name="autoridad-inmediata-del-asesor-tencnico-" w:displacedByCustomXml="next"/>
    <w:bookmarkEnd w:id="50" w:displacedByCustomXml="next"/>
    <w:bookmarkStart w:id="51" w:name="_Toc450575683" w:displacedByCustomXml="next"/>
    <w:bookmarkStart w:id="52" w:name="_Toc492043209" w:displacedByCustomXml="next"/>
    <w:bookmarkStart w:id="53" w:name="_Toc492280980" w:displacedByCustomXml="next"/>
    <w:bookmarkStart w:id="54" w:name="_Toc492282219" w:displacedByCustomXml="next"/>
    <w:bookmarkStart w:id="55" w:name="_Toc492300731" w:displacedByCustomXml="next"/>
    <w:bookmarkStart w:id="56" w:name="_Toc492301724" w:displacedByCustomXml="next"/>
    <w:bookmarkStart w:id="57" w:name="_Toc492302125" w:displacedByCustomXml="next"/>
    <w:sdt>
      <w:sdtPr>
        <w:rPr>
          <w:rFonts w:ascii="Corbel" w:hAnsi="Corbel"/>
          <w:color w:val="auto"/>
          <w:sz w:val="20"/>
          <w:szCs w:val="20"/>
          <w:lang w:val="es-ES"/>
        </w:rPr>
        <w:id w:val="-172451321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B8563A" w:rsidRPr="00AE7D78" w:rsidRDefault="00B8563A">
          <w:pPr>
            <w:pStyle w:val="Ttulo1"/>
            <w:rPr>
              <w:lang w:val="es-MX"/>
            </w:rPr>
          </w:pPr>
          <w:r w:rsidRPr="00AE7D78">
            <w:rPr>
              <w:lang w:val="es-MX"/>
            </w:rPr>
            <w:t>Bibliografía</w:t>
          </w:r>
          <w:bookmarkEnd w:id="57"/>
          <w:bookmarkEnd w:id="56"/>
          <w:bookmarkEnd w:id="55"/>
          <w:bookmarkEnd w:id="54"/>
          <w:bookmarkEnd w:id="53"/>
          <w:bookmarkEnd w:id="52"/>
          <w:bookmarkEnd w:id="51"/>
        </w:p>
        <w:sdt>
          <w:sdtPr>
            <w:id w:val="111145805"/>
            <w:bibliography/>
          </w:sdtPr>
          <w:sdtEndPr/>
          <w:sdtContent>
            <w:p w:rsidR="007C698B" w:rsidRDefault="00B8563A" w:rsidP="007C698B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A2705">
                <w:rPr>
                  <w:lang w:val="es-MX"/>
                </w:rPr>
                <w:instrText>BIBLIOGRAPHY</w:instrText>
              </w:r>
              <w:r>
                <w:fldChar w:fldCharType="separate"/>
              </w:r>
              <w:r w:rsidR="007C698B" w:rsidRPr="009A2705">
                <w:rPr>
                  <w:lang w:val="es-MX"/>
                </w:rPr>
                <w:t xml:space="preserve">Adams, R., Wu, M., &amp; Wilson, M. (2015). </w:t>
              </w:r>
              <w:r w:rsidR="007C698B">
                <w:rPr>
                  <w:i/>
                  <w:iCs/>
                  <w:noProof/>
                </w:rPr>
                <w:t>Acer ConQuest: Generalised Item Response Modelling Software.</w:t>
              </w:r>
              <w:r w:rsidR="007C698B">
                <w:rPr>
                  <w:noProof/>
                </w:rPr>
                <w:t xml:space="preserve"> [Computer software]. Version 4. Camberwell, Victoria: Australian Council for Educational Research.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T. (2015). </w:t>
              </w:r>
              <w:r>
                <w:rPr>
                  <w:i/>
                  <w:iCs/>
                  <w:noProof/>
                </w:rPr>
                <w:t>Confirmatory Factor Analysis for Applied Research</w:t>
              </w:r>
              <w:r>
                <w:rPr>
                  <w:noProof/>
                </w:rPr>
                <w:t xml:space="preserve"> (Segunda edición ed.). New York : The Guilford Press.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Dimitrov, D. M. (2012). </w:t>
              </w:r>
              <w:r>
                <w:rPr>
                  <w:i/>
                  <w:iCs/>
                  <w:noProof/>
                </w:rPr>
                <w:t>Statistical Methods for Validation of Assessment Scale Data in Counseling and Related FIelds.</w:t>
              </w:r>
              <w:r>
                <w:rPr>
                  <w:noProof/>
                </w:rPr>
                <w:t xml:space="preserve"> Alexandría : Wiley.</w:t>
              </w:r>
            </w:p>
            <w:p w:rsidR="007C698B" w:rsidRPr="00153060" w:rsidRDefault="007C698B" w:rsidP="007C698B">
              <w:pPr>
                <w:pStyle w:val="Bibliografa"/>
                <w:ind w:left="720" w:hanging="720"/>
                <w:rPr>
                  <w:lang w:val="es-MX"/>
                </w:rPr>
              </w:pPr>
              <w:r>
                <w:rPr>
                  <w:noProof/>
                </w:rPr>
                <w:t xml:space="preserve">ETS. Educational Testing Service. (s.f.). </w:t>
              </w:r>
              <w:r>
                <w:rPr>
                  <w:i/>
                  <w:iCs/>
                  <w:noProof/>
                </w:rPr>
                <w:t>An adjustment for Sample Size in DIF Analysis</w:t>
              </w:r>
              <w:r>
                <w:rPr>
                  <w:noProof/>
                </w:rPr>
                <w:t xml:space="preserve">. </w:t>
              </w:r>
              <w:r w:rsidRPr="00153060">
                <w:rPr>
                  <w:lang w:val="es-MX"/>
                </w:rPr>
                <w:t>Recuperado el 19 de Abril de 2016, de http://www.rasch.org/rmt/rmt203e.htm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Hair, J., Black, W., Babin, B., &amp; Anderson, R. (2009). </w:t>
              </w:r>
              <w:r w:rsidRPr="00153060">
                <w:rPr>
                  <w:i/>
                  <w:lang w:val="es-MX"/>
                </w:rPr>
                <w:t>Mutivariate Data Analysis</w:t>
              </w:r>
              <w:r w:rsidRPr="00153060">
                <w:rPr>
                  <w:lang w:val="es-MX"/>
                </w:rPr>
                <w:t xml:space="preserve"> (Séptima edición ed.). </w:t>
              </w:r>
              <w:r>
                <w:rPr>
                  <w:noProof/>
                </w:rPr>
                <w:t>Pearson.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OECD. (2009). </w:t>
              </w:r>
              <w:r>
                <w:rPr>
                  <w:i/>
                  <w:iCs/>
                  <w:noProof/>
                </w:rPr>
                <w:t>PISA 2006. Technical Report. Programme for International Student Assessment.</w:t>
              </w:r>
              <w:r>
                <w:rPr>
                  <w:noProof/>
                </w:rPr>
                <w:t xml:space="preserve"> Paris: OECD.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Wilson, M. (2005). </w:t>
              </w:r>
              <w:r>
                <w:rPr>
                  <w:i/>
                  <w:iCs/>
                  <w:noProof/>
                </w:rPr>
                <w:t>Constructing Measures. An Item Response Approach.</w:t>
              </w:r>
              <w:r>
                <w:rPr>
                  <w:noProof/>
                </w:rPr>
                <w:t xml:space="preserve"> Mahwah, New Jersey: Lawrence Erlbaum Associates, Inc., Publishers.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Wilson, M. (2005). </w:t>
              </w:r>
              <w:r>
                <w:rPr>
                  <w:i/>
                  <w:iCs/>
                  <w:noProof/>
                </w:rPr>
                <w:t>Constructing Measures: An Item Response Modeling Approach.</w:t>
              </w:r>
              <w:r>
                <w:rPr>
                  <w:noProof/>
                </w:rPr>
                <w:t xml:space="preserve"> London: Lawrence Erlbaum Associates.</w:t>
              </w:r>
            </w:p>
            <w:p w:rsidR="007C698B" w:rsidRDefault="007C698B" w:rsidP="007C69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Wu, M. L., Adams, R. J., Wilson , M. R., &amp; Haldane, S. A. (2007). </w:t>
              </w:r>
              <w:r>
                <w:rPr>
                  <w:i/>
                  <w:iCs/>
                  <w:noProof/>
                </w:rPr>
                <w:t>ACER ConQuest Version 2: Generalised item response modelling software.</w:t>
              </w:r>
              <w:r>
                <w:rPr>
                  <w:noProof/>
                </w:rPr>
                <w:t xml:space="preserve"> Camberwell: Australian Council for Educational Research.</w:t>
              </w:r>
            </w:p>
            <w:p w:rsidR="00B8563A" w:rsidRDefault="00B8563A" w:rsidP="007C69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0795" w:rsidRPr="00196926" w:rsidRDefault="001D0795" w:rsidP="00A448BE">
      <w:pPr>
        <w:rPr>
          <w:rFonts w:ascii="Arial" w:hAnsi="Arial" w:cs="Arial"/>
          <w:lang w:val="es-ES_tradnl"/>
        </w:rPr>
      </w:pPr>
    </w:p>
    <w:p w:rsidR="00226321" w:rsidRPr="00B14C68" w:rsidRDefault="00226321" w:rsidP="00480B90">
      <w:pPr>
        <w:rPr>
          <w:rFonts w:ascii="Arial" w:hAnsi="Arial" w:cs="Arial"/>
          <w:sz w:val="22"/>
          <w:lang w:val="es-ES_tradnl"/>
        </w:rPr>
        <w:sectPr w:rsidR="00226321" w:rsidRPr="00B14C68" w:rsidSect="009D0A17">
          <w:headerReference w:type="default" r:id="rId17"/>
          <w:footerReference w:type="default" r:id="rId18"/>
          <w:headerReference w:type="first" r:id="rId19"/>
          <w:pgSz w:w="12240" w:h="15840" w:code="1"/>
          <w:pgMar w:top="1440" w:right="1077" w:bottom="1440" w:left="1418" w:header="851" w:footer="0" w:gutter="0"/>
          <w:cols w:space="708"/>
          <w:titlePg/>
          <w:docGrid w:linePitch="360"/>
        </w:sectPr>
      </w:pPr>
    </w:p>
    <w:p w:rsidR="00A0719F" w:rsidRDefault="00436552" w:rsidP="00480B90">
      <w:pPr>
        <w:rPr>
          <w:rFonts w:ascii="Arial" w:hAnsi="Arial" w:cs="Arial"/>
          <w:lang w:val="es-ES_tradnl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7609840</wp:posOffset>
                </wp:positionV>
                <wp:extent cx="7315200" cy="903605"/>
                <wp:effectExtent l="0" t="0" r="0" b="190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6B1" w:rsidRDefault="000F36B1" w:rsidP="00D760AD">
                            <w:pPr>
                              <w:tabs>
                                <w:tab w:val="left" w:pos="993"/>
                              </w:tabs>
                              <w:spacing w:line="240" w:lineRule="atLeast"/>
                              <w:ind w:firstLine="227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F0F8F"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  <w:t>INSTITUTO NACIONAL PARA LA EVALUACIÓN DE LA EDUCACIÓN</w:t>
                            </w:r>
                          </w:p>
                          <w:p w:rsidR="000F36B1" w:rsidRPr="002F0F8F" w:rsidRDefault="000F36B1" w:rsidP="00D760AD">
                            <w:pPr>
                              <w:tabs>
                                <w:tab w:val="left" w:pos="993"/>
                              </w:tabs>
                              <w:spacing w:line="240" w:lineRule="atLeast"/>
                              <w:ind w:firstLine="227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0F36B1" w:rsidRPr="002F0F8F" w:rsidRDefault="000F36B1" w:rsidP="00D760AD">
                            <w:pPr>
                              <w:tabs>
                                <w:tab w:val="left" w:pos="993"/>
                              </w:tabs>
                              <w:spacing w:line="240" w:lineRule="atLeast"/>
                              <w:ind w:firstLine="227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C5D0A"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  <w:t>Av. Barranca del Muerto 341</w:t>
                            </w:r>
                            <w:r w:rsidRPr="002F0F8F"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  <w:t xml:space="preserve">, Col. San José Insurgentes, </w:t>
                            </w:r>
                            <w:proofErr w:type="spellStart"/>
                            <w:r w:rsidRPr="002F0F8F"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  <w:t>Deleg</w:t>
                            </w:r>
                            <w:proofErr w:type="spellEnd"/>
                            <w:r w:rsidRPr="002F0F8F"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  <w:lang w:val="es-MX"/>
                              </w:rPr>
                              <w:t>. Benito Juárez, C.P. 03900, México, D.F.</w:t>
                            </w:r>
                          </w:p>
                          <w:p w:rsidR="000F36B1" w:rsidRPr="006277F1" w:rsidRDefault="000F36B1" w:rsidP="00D760AD">
                            <w:pPr>
                              <w:tabs>
                                <w:tab w:val="left" w:pos="993"/>
                              </w:tabs>
                              <w:spacing w:line="240" w:lineRule="atLeast"/>
                              <w:ind w:firstLine="227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</w:rPr>
                              <w:t>Tel.: (55) 5482 -0900</w:t>
                            </w:r>
                          </w:p>
                          <w:p w:rsidR="000F36B1" w:rsidRDefault="000F36B1" w:rsidP="00D760AD">
                            <w:pPr>
                              <w:tabs>
                                <w:tab w:val="left" w:pos="993"/>
                              </w:tabs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Text Box 24" o:spid="_x0000_s1028" type="#_x0000_t202" style="position:absolute;left:0;text-align:left;margin-left:-54pt;margin-top:599.2pt;width:8in;height:71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" filled="f" stroked="f">
                <v:textbox inset=",7.2pt,,7.2pt">
                  <w:txbxContent>
                    <w:p w14:paraId="78035844" w14:textId="77777777" w:rsidR="000F36B1" w:rsidRDefault="000F36B1" w:rsidP="00D760AD">
                      <w:pPr>
                        <w:tabs>
                          <w:tab w:val="left" w:pos="993"/>
                        </w:tabs>
                        <w:spacing w:line="240" w:lineRule="atLeast"/>
                        <w:ind w:firstLine="227"/>
                        <w:contextualSpacing/>
                        <w:jc w:val="center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  <w:lang w:val="es-MX"/>
                        </w:rPr>
                      </w:pPr>
                      <w:r w:rsidRPr="002F0F8F"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  <w:lang w:val="es-MX"/>
                        </w:rPr>
                        <w:t>INSTITUTO NACIONAL PARA LA EVALUACIÓN DE LA EDUCACIÓN</w:t>
                      </w:r>
                    </w:p>
                    <w:p w14:paraId="335E14C0" w14:textId="77777777" w:rsidR="000F36B1" w:rsidRPr="002F0F8F" w:rsidRDefault="000F36B1" w:rsidP="00D760AD">
                      <w:pPr>
                        <w:tabs>
                          <w:tab w:val="left" w:pos="993"/>
                        </w:tabs>
                        <w:spacing w:line="240" w:lineRule="atLeast"/>
                        <w:ind w:firstLine="227"/>
                        <w:contextualSpacing/>
                        <w:jc w:val="center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  <w:lang w:val="es-MX"/>
                        </w:rPr>
                      </w:pPr>
                    </w:p>
                    <w:p w14:paraId="3B4EE0E4" w14:textId="77777777" w:rsidR="000F36B1" w:rsidRPr="002F0F8F" w:rsidRDefault="000F36B1" w:rsidP="00D760AD">
                      <w:pPr>
                        <w:tabs>
                          <w:tab w:val="left" w:pos="993"/>
                        </w:tabs>
                        <w:spacing w:line="240" w:lineRule="atLeast"/>
                        <w:ind w:firstLine="227"/>
                        <w:contextualSpacing/>
                        <w:jc w:val="center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  <w:lang w:val="es-MX"/>
                        </w:rPr>
                      </w:pPr>
                      <w:r w:rsidRPr="007C5D0A"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  <w:lang w:val="es-MX"/>
                        </w:rPr>
                        <w:t>Av. Barranca del Muerto 341</w:t>
                      </w:r>
                      <w:r w:rsidRPr="002F0F8F"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  <w:lang w:val="es-MX"/>
                        </w:rPr>
                        <w:t>, Col. San José Insurgentes, Deleg. Benito Juárez, C.P. 03900, México, D.F.</w:t>
                      </w:r>
                    </w:p>
                    <w:p w14:paraId="5C166E2F" w14:textId="77777777" w:rsidR="000F36B1" w:rsidRPr="006277F1" w:rsidRDefault="000F36B1" w:rsidP="00D760AD">
                      <w:pPr>
                        <w:tabs>
                          <w:tab w:val="left" w:pos="993"/>
                        </w:tabs>
                        <w:spacing w:line="240" w:lineRule="atLeast"/>
                        <w:ind w:firstLine="227"/>
                        <w:contextualSpacing/>
                        <w:jc w:val="center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</w:rPr>
                        <w:t>Tel.: (55) 5482 -0900</w:t>
                      </w:r>
                    </w:p>
                    <w:p w14:paraId="638DD55E" w14:textId="77777777" w:rsidR="000F36B1" w:rsidRDefault="000F36B1" w:rsidP="00D760AD">
                      <w:pPr>
                        <w:tabs>
                          <w:tab w:val="left" w:pos="993"/>
                        </w:tabs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6570345</wp:posOffset>
                </wp:positionV>
                <wp:extent cx="7826375" cy="494665"/>
                <wp:effectExtent l="0" t="0" r="3175" b="254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6B1" w:rsidRPr="00E93A6F" w:rsidRDefault="000F36B1" w:rsidP="00E93A6F">
                            <w:pPr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UNIDAD DE EVALUACIÓN DEL SISTEMA EDUCATIVO NACIONAL</w:t>
                            </w:r>
                          </w:p>
                          <w:p w:rsidR="000F36B1" w:rsidRPr="00E93A6F" w:rsidRDefault="000F36B1" w:rsidP="00E93A6F">
                            <w:pPr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DIRECCIÓN GENERAL DE MEDICIÓN Y TRATAMIENTO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Text Box 19" o:spid="_x0000_s1029" type="#_x0000_t202" style="position:absolute;left:0;text-align:left;margin-left:-1in;margin-top:517.35pt;width:616.25pt;height:38.9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ra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" filled="f" stroked="f">
                <v:textbox style="mso-fit-shape-to-text:t">
                  <w:txbxContent>
                    <w:p w14:paraId="0DC8232B" w14:textId="77777777" w:rsidR="000F36B1" w:rsidRPr="00E93A6F" w:rsidRDefault="000F36B1" w:rsidP="00E93A6F">
                      <w:pPr>
                        <w:spacing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UNIDAD DE EVALUACIÓN DEL SISTEMA EDUCATIVO NACIONAL</w:t>
                      </w:r>
                    </w:p>
                    <w:p w14:paraId="51F9EC6E" w14:textId="77777777" w:rsidR="000F36B1" w:rsidRPr="00E93A6F" w:rsidRDefault="000F36B1" w:rsidP="00E93A6F">
                      <w:pPr>
                        <w:spacing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DIRECCIÓN GENERAL DE MEDICIÓN Y TRATAMIENTO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487022" w:rsidRPr="00480B90" w:rsidRDefault="00487022" w:rsidP="00487022">
      <w:pPr>
        <w:spacing w:before="0" w:after="0" w:line="240" w:lineRule="auto"/>
        <w:rPr>
          <w:rFonts w:ascii="Arial" w:hAnsi="Arial" w:cs="Arial"/>
          <w:lang w:val="es-ES_tradnl"/>
        </w:rPr>
      </w:pPr>
    </w:p>
    <w:sectPr w:rsidR="00487022" w:rsidRPr="00480B90" w:rsidSect="00480B90">
      <w:headerReference w:type="first" r:id="rId20"/>
      <w:pgSz w:w="12240" w:h="15840" w:code="1"/>
      <w:pgMar w:top="1440" w:right="1077" w:bottom="1440" w:left="1418" w:header="85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F38" w:rsidRDefault="006A0F38">
      <w:r>
        <w:separator/>
      </w:r>
    </w:p>
  </w:endnote>
  <w:endnote w:type="continuationSeparator" w:id="0">
    <w:p w:rsidR="006A0F38" w:rsidRDefault="006A0F38">
      <w:r>
        <w:continuationSeparator/>
      </w:r>
    </w:p>
  </w:endnote>
  <w:endnote w:type="continuationNotice" w:id="1">
    <w:p w:rsidR="006A0F38" w:rsidRDefault="006A0F3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lio St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B1" w:rsidRPr="00480B90" w:rsidRDefault="000F36B1" w:rsidP="00D760AD">
    <w:pPr>
      <w:pStyle w:val="Piedepgina"/>
      <w:spacing w:before="120" w:after="120" w:line="240" w:lineRule="auto"/>
      <w:jc w:val="center"/>
      <w:rPr>
        <w:rFonts w:cs="Arial"/>
        <w:sz w:val="16"/>
        <w:szCs w:val="16"/>
        <w:lang w:val="es-MX"/>
      </w:rPr>
    </w:pPr>
    <w:r w:rsidRPr="00480B90">
      <w:rPr>
        <w:rFonts w:cs="Arial"/>
        <w:sz w:val="16"/>
        <w:szCs w:val="16"/>
        <w:lang w:val="es-MX"/>
      </w:rPr>
      <w:t>INSTITUTO NACIONAL PARA LA EVALUACIÓN DE LA EDUCACIÓN</w:t>
    </w:r>
  </w:p>
  <w:p w:rsidR="000F36B1" w:rsidRPr="00CE3432" w:rsidRDefault="000F36B1" w:rsidP="00D760AD">
    <w:pPr>
      <w:spacing w:before="120" w:after="120" w:line="240" w:lineRule="auto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  <w:lang w:val="es-MX"/>
      </w:rPr>
      <w:t>Av. Barranca del Muerto 341</w:t>
    </w:r>
    <w:r w:rsidRPr="00480B90">
      <w:rPr>
        <w:rFonts w:ascii="Arial" w:hAnsi="Arial" w:cs="Arial"/>
        <w:sz w:val="14"/>
        <w:szCs w:val="14"/>
        <w:lang w:val="es-MX"/>
      </w:rPr>
      <w:t xml:space="preserve">, Col. San José Insurgentes, </w:t>
    </w:r>
    <w:proofErr w:type="spellStart"/>
    <w:r w:rsidRPr="00480B90">
      <w:rPr>
        <w:rFonts w:ascii="Arial" w:hAnsi="Arial" w:cs="Arial"/>
        <w:sz w:val="14"/>
        <w:szCs w:val="14"/>
        <w:lang w:val="es-MX"/>
      </w:rPr>
      <w:t>Deleg</w:t>
    </w:r>
    <w:proofErr w:type="spellEnd"/>
    <w:r w:rsidRPr="00480B90">
      <w:rPr>
        <w:rFonts w:ascii="Arial" w:hAnsi="Arial" w:cs="Arial"/>
        <w:sz w:val="14"/>
        <w:szCs w:val="14"/>
        <w:lang w:val="es-MX"/>
      </w:rPr>
      <w:t xml:space="preserve">. Benito Juárez, C.P. 03900, México, D.F.                     </w:t>
    </w:r>
    <w:r>
      <w:rPr>
        <w:rFonts w:ascii="Arial" w:hAnsi="Arial" w:cs="Arial"/>
        <w:sz w:val="14"/>
        <w:szCs w:val="14"/>
        <w:lang w:val="es-MX"/>
      </w:rPr>
      <w:t xml:space="preserve">                      </w:t>
    </w:r>
    <w:r w:rsidRPr="00480B90">
      <w:rPr>
        <w:rFonts w:ascii="Arial" w:hAnsi="Arial" w:cs="Arial"/>
        <w:sz w:val="14"/>
        <w:szCs w:val="14"/>
        <w:lang w:val="es-MX"/>
      </w:rPr>
      <w:t xml:space="preserve">                                              </w:t>
    </w:r>
    <w:r w:rsidRPr="00CE3432">
      <w:rPr>
        <w:rFonts w:ascii="Arial" w:hAnsi="Arial" w:cs="Arial"/>
        <w:sz w:val="14"/>
        <w:szCs w:val="14"/>
      </w:rPr>
      <w:t>Tel.: (55) 5482 -</w:t>
    </w:r>
    <w:proofErr w:type="gramStart"/>
    <w:r w:rsidRPr="00CE3432">
      <w:rPr>
        <w:rFonts w:ascii="Arial" w:hAnsi="Arial" w:cs="Arial"/>
        <w:sz w:val="14"/>
        <w:szCs w:val="14"/>
      </w:rPr>
      <w:t>0900  www.inee.edu.mx</w:t>
    </w:r>
    <w:proofErr w:type="gramEnd"/>
  </w:p>
  <w:p w:rsidR="000F36B1" w:rsidRPr="00A7648D" w:rsidRDefault="000F36B1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F38" w:rsidRDefault="006A0F38">
      <w:r>
        <w:separator/>
      </w:r>
    </w:p>
  </w:footnote>
  <w:footnote w:type="continuationSeparator" w:id="0">
    <w:p w:rsidR="006A0F38" w:rsidRDefault="006A0F38">
      <w:r>
        <w:continuationSeparator/>
      </w:r>
    </w:p>
  </w:footnote>
  <w:footnote w:type="continuationNotice" w:id="1">
    <w:p w:rsidR="006A0F38" w:rsidRDefault="006A0F38">
      <w:pPr>
        <w:spacing w:before="0" w:after="0" w:line="240" w:lineRule="auto"/>
      </w:pPr>
    </w:p>
  </w:footnote>
  <w:footnote w:id="2">
    <w:p w:rsidR="000F36B1" w:rsidRPr="00AA7297" w:rsidRDefault="000F36B1" w:rsidP="00F856FA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AA7297">
        <w:rPr>
          <w:lang w:val="es-MX"/>
        </w:rPr>
        <w:t xml:space="preserve"> La variabilidad del reactivo explicada por el modelo se obtiene al elevar al cuadrado la carga factorial asociada al reactive  </w:t>
      </w:r>
      <w:sdt>
        <w:sdtPr>
          <w:id w:val="-354040423"/>
          <w:citation/>
        </w:sdtPr>
        <w:sdtEndPr/>
        <w:sdtContent>
          <w:r>
            <w:fldChar w:fldCharType="begin"/>
          </w:r>
          <w:r w:rsidRPr="00AA7297">
            <w:rPr>
              <w:lang w:val="es-MX"/>
            </w:rPr>
            <w:instrText xml:space="preserve"> CITATION Bro15 \l 2058 </w:instrText>
          </w:r>
          <w:r>
            <w:fldChar w:fldCharType="separate"/>
          </w:r>
          <w:r w:rsidRPr="00D6347B">
            <w:rPr>
              <w:noProof/>
              <w:lang w:val="es-MX"/>
            </w:rPr>
            <w:t>(Brown, 2015)</w:t>
          </w:r>
          <w:r>
            <w:fldChar w:fldCharType="end"/>
          </w:r>
        </w:sdtContent>
      </w:sdt>
      <w:r w:rsidRPr="00AA7297">
        <w:rPr>
          <w:lang w:val="es-MX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8593"/>
      <w:gridCol w:w="1152"/>
    </w:tblGrid>
    <w:tr w:rsidR="000F36B1" w:rsidRPr="00FC7E22" w:rsidTr="00480B90">
      <w:tc>
        <w:tcPr>
          <w:tcW w:w="0" w:type="auto"/>
          <w:tcBorders>
            <w:right w:val="single" w:sz="6" w:space="0" w:color="000000"/>
          </w:tcBorders>
        </w:tcPr>
        <w:p w:rsidR="000F36B1" w:rsidRPr="00480B90" w:rsidRDefault="000F36B1" w:rsidP="00480B90">
          <w:pPr>
            <w:spacing w:before="0" w:after="0"/>
            <w:jc w:val="right"/>
            <w:rPr>
              <w:rFonts w:cs="Arial"/>
              <w:sz w:val="16"/>
              <w:szCs w:val="16"/>
              <w:lang w:val="es-MX"/>
            </w:rPr>
          </w:pPr>
          <w:r>
            <w:rPr>
              <w:rFonts w:cs="Arial"/>
              <w:sz w:val="16"/>
              <w:szCs w:val="16"/>
            </w:rPr>
            <w:tab/>
          </w:r>
          <w:r>
            <w:rPr>
              <w:rFonts w:cs="Arial"/>
              <w:sz w:val="16"/>
              <w:szCs w:val="16"/>
              <w:lang w:val="es-MX"/>
            </w:rPr>
            <w:t>Unidad de Evaluación del Sistema Educativo Nacional</w:t>
          </w:r>
        </w:p>
        <w:p w:rsidR="000F36B1" w:rsidRPr="00480B90" w:rsidRDefault="000F36B1" w:rsidP="00480B90">
          <w:pPr>
            <w:tabs>
              <w:tab w:val="left" w:pos="3142"/>
              <w:tab w:val="right" w:pos="8204"/>
            </w:tabs>
            <w:spacing w:before="0" w:after="0"/>
            <w:jc w:val="right"/>
            <w:rPr>
              <w:rFonts w:cs="Arial"/>
              <w:sz w:val="16"/>
              <w:szCs w:val="16"/>
              <w:lang w:val="es-MX"/>
            </w:rPr>
          </w:pPr>
          <w:r w:rsidRPr="00480B90">
            <w:rPr>
              <w:rFonts w:cs="Arial"/>
              <w:sz w:val="16"/>
              <w:szCs w:val="16"/>
              <w:lang w:val="es-MX"/>
            </w:rPr>
            <w:tab/>
          </w:r>
          <w:r>
            <w:rPr>
              <w:rFonts w:cs="Arial"/>
              <w:sz w:val="16"/>
              <w:szCs w:val="16"/>
              <w:lang w:val="es-MX"/>
            </w:rPr>
            <w:t>Dirección General de Medición y Tratamiento de Datos</w:t>
          </w:r>
        </w:p>
        <w:p w:rsidR="000F36B1" w:rsidRPr="003D1D1E" w:rsidRDefault="000F36B1" w:rsidP="003D1D1E">
          <w:pPr>
            <w:spacing w:before="0" w:after="0"/>
            <w:jc w:val="right"/>
            <w:rPr>
              <w:rFonts w:cs="Arial"/>
              <w:color w:val="17365D"/>
              <w:sz w:val="16"/>
              <w:szCs w:val="16"/>
              <w:lang w:val="es-MX"/>
            </w:rPr>
          </w:pPr>
          <w:r>
            <w:rPr>
              <w:rFonts w:cs="Arial"/>
              <w:color w:val="17365D"/>
              <w:sz w:val="16"/>
              <w:szCs w:val="16"/>
              <w:lang w:val="es-MX"/>
            </w:rPr>
            <w:t>Escalas para el Informe de responsabilidades profesionales. SPD 2017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0F36B1" w:rsidRPr="009423C0" w:rsidRDefault="000F36B1" w:rsidP="00EC74B2">
          <w:pPr>
            <w:pStyle w:val="Encabezado"/>
            <w:rPr>
              <w:rFonts w:ascii="Arial" w:hAnsi="Arial" w:cs="Arial"/>
              <w:color w:val="002060"/>
              <w:sz w:val="16"/>
              <w:szCs w:val="16"/>
            </w:rPr>
          </w:pPr>
          <w:r w:rsidRPr="009423C0"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instrText>PAGE</w:instrText>
          </w:r>
          <w:r w:rsidRPr="009423C0"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fldChar w:fldCharType="separate"/>
          </w:r>
          <w:r w:rsidR="00611733">
            <w:rPr>
              <w:rFonts w:ascii="Arial" w:hAnsi="Arial" w:cs="Arial"/>
              <w:b/>
              <w:bCs/>
              <w:noProof/>
              <w:color w:val="002060"/>
              <w:sz w:val="16"/>
              <w:szCs w:val="16"/>
            </w:rPr>
            <w:t>17</w:t>
          </w:r>
          <w:r w:rsidRPr="009423C0"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fldChar w:fldCharType="end"/>
          </w:r>
          <w:r w:rsidRPr="009423C0">
            <w:rPr>
              <w:rFonts w:ascii="Arial" w:hAnsi="Arial" w:cs="Arial"/>
              <w:color w:val="002060"/>
              <w:sz w:val="16"/>
              <w:szCs w:val="16"/>
              <w:lang w:val="es-ES"/>
            </w:rPr>
            <w:t xml:space="preserve"> de </w:t>
          </w:r>
          <w:r w:rsidRPr="009423C0"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instrText>NUMPAGES</w:instrText>
          </w:r>
          <w:r w:rsidRPr="009423C0"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fldChar w:fldCharType="separate"/>
          </w:r>
          <w:r w:rsidR="00611733">
            <w:rPr>
              <w:rFonts w:ascii="Arial" w:hAnsi="Arial" w:cs="Arial"/>
              <w:b/>
              <w:bCs/>
              <w:noProof/>
              <w:color w:val="002060"/>
              <w:sz w:val="16"/>
              <w:szCs w:val="16"/>
            </w:rPr>
            <w:t>18</w:t>
          </w:r>
          <w:r w:rsidRPr="009423C0">
            <w:rPr>
              <w:rFonts w:ascii="Arial" w:hAnsi="Arial" w:cs="Arial"/>
              <w:b/>
              <w:bCs/>
              <w:color w:val="002060"/>
              <w:sz w:val="16"/>
              <w:szCs w:val="16"/>
            </w:rPr>
            <w:fldChar w:fldCharType="end"/>
          </w:r>
        </w:p>
        <w:p w:rsidR="000F36B1" w:rsidRPr="00FC7E22" w:rsidRDefault="000F36B1" w:rsidP="00EC74B2">
          <w:pPr>
            <w:pStyle w:val="Encabezado"/>
            <w:rPr>
              <w:b/>
              <w:bCs/>
              <w:color w:val="E36C0A"/>
            </w:rPr>
          </w:pPr>
        </w:p>
      </w:tc>
    </w:tr>
  </w:tbl>
  <w:p w:rsidR="000F36B1" w:rsidRDefault="000F36B1" w:rsidP="003D1D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B1" w:rsidRDefault="000F36B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1875790</wp:posOffset>
          </wp:positionV>
          <wp:extent cx="8115300" cy="6956425"/>
          <wp:effectExtent l="0" t="0" r="0" b="0"/>
          <wp:wrapNone/>
          <wp:docPr id="8" name="Imagen 8" descr="portada inform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ortada inform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0" cy="695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B1" w:rsidRDefault="000F36B1" w:rsidP="009D0A17">
    <w:pPr>
      <w:pStyle w:val="Encabezado"/>
      <w:tabs>
        <w:tab w:val="clear" w:pos="4252"/>
        <w:tab w:val="clear" w:pos="8504"/>
        <w:tab w:val="left" w:pos="2076"/>
      </w:tabs>
    </w:pPr>
    <w:r>
      <w:tab/>
    </w:r>
  </w:p>
  <w:p w:rsidR="000F36B1" w:rsidRDefault="000F36B1" w:rsidP="009D0A17">
    <w:pPr>
      <w:pStyle w:val="Encabezado"/>
      <w:tabs>
        <w:tab w:val="clear" w:pos="4252"/>
        <w:tab w:val="clear" w:pos="8504"/>
        <w:tab w:val="left" w:pos="1627"/>
      </w:tabs>
    </w:pPr>
    <w:r>
      <w:rPr>
        <w:noProof/>
        <w:lang w:val="es-MX" w:eastAsia="es-MX"/>
      </w:rPr>
      <w:drawing>
        <wp:anchor distT="0" distB="0" distL="114300" distR="114300" simplePos="0" relativeHeight="251658241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1934845</wp:posOffset>
          </wp:positionV>
          <wp:extent cx="7886700" cy="7315835"/>
          <wp:effectExtent l="0" t="0" r="0" b="0"/>
          <wp:wrapNone/>
          <wp:docPr id="13" name="Imagen 13" descr="contra inform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ra inform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7315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53EA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6585E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D783B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0630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657B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B74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69CB"/>
    <w:multiLevelType w:val="hybridMultilevel"/>
    <w:tmpl w:val="6FC07668"/>
    <w:lvl w:ilvl="0" w:tplc="F4A86E0A">
      <w:start w:val="1"/>
      <w:numFmt w:val="bullet"/>
      <w:pStyle w:val="Listaconvieta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4EF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45FE2"/>
    <w:multiLevelType w:val="hybridMultilevel"/>
    <w:tmpl w:val="75080F9C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015DC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B71FA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36D7"/>
    <w:multiLevelType w:val="hybridMultilevel"/>
    <w:tmpl w:val="05D2AB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733F0"/>
    <w:multiLevelType w:val="hybridMultilevel"/>
    <w:tmpl w:val="729EA1F8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86BBB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4565E"/>
    <w:multiLevelType w:val="hybridMultilevel"/>
    <w:tmpl w:val="5E042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4150A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C2C9C"/>
    <w:multiLevelType w:val="hybridMultilevel"/>
    <w:tmpl w:val="A19669CA"/>
    <w:lvl w:ilvl="0" w:tplc="41944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25476"/>
    <w:multiLevelType w:val="hybridMultilevel"/>
    <w:tmpl w:val="4E7A2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13"/>
  </w:num>
  <w:num w:numId="8">
    <w:abstractNumId w:val="17"/>
  </w:num>
  <w:num w:numId="9">
    <w:abstractNumId w:val="16"/>
  </w:num>
  <w:num w:numId="10">
    <w:abstractNumId w:val="11"/>
  </w:num>
  <w:num w:numId="11">
    <w:abstractNumId w:val="8"/>
  </w:num>
  <w:num w:numId="12">
    <w:abstractNumId w:val="10"/>
  </w:num>
  <w:num w:numId="13">
    <w:abstractNumId w:val="14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AE"/>
    <w:rsid w:val="0000185E"/>
    <w:rsid w:val="0000401C"/>
    <w:rsid w:val="0000511A"/>
    <w:rsid w:val="00005F04"/>
    <w:rsid w:val="00006790"/>
    <w:rsid w:val="0000767A"/>
    <w:rsid w:val="00015AF1"/>
    <w:rsid w:val="00015B1E"/>
    <w:rsid w:val="00016393"/>
    <w:rsid w:val="00021881"/>
    <w:rsid w:val="000251A5"/>
    <w:rsid w:val="00030836"/>
    <w:rsid w:val="00032E1F"/>
    <w:rsid w:val="000347F2"/>
    <w:rsid w:val="000364C3"/>
    <w:rsid w:val="00036EAC"/>
    <w:rsid w:val="000408A6"/>
    <w:rsid w:val="000429E0"/>
    <w:rsid w:val="00043B21"/>
    <w:rsid w:val="00044BD5"/>
    <w:rsid w:val="000466CE"/>
    <w:rsid w:val="000466F4"/>
    <w:rsid w:val="00047537"/>
    <w:rsid w:val="0005121A"/>
    <w:rsid w:val="0005132D"/>
    <w:rsid w:val="00051952"/>
    <w:rsid w:val="000526E6"/>
    <w:rsid w:val="0006109A"/>
    <w:rsid w:val="00061F56"/>
    <w:rsid w:val="000627A0"/>
    <w:rsid w:val="00063297"/>
    <w:rsid w:val="000652D9"/>
    <w:rsid w:val="0007051B"/>
    <w:rsid w:val="00070A88"/>
    <w:rsid w:val="000735CA"/>
    <w:rsid w:val="000738C8"/>
    <w:rsid w:val="00075C35"/>
    <w:rsid w:val="000770F7"/>
    <w:rsid w:val="00077621"/>
    <w:rsid w:val="000801C3"/>
    <w:rsid w:val="00083782"/>
    <w:rsid w:val="00083F46"/>
    <w:rsid w:val="000850AB"/>
    <w:rsid w:val="000874AA"/>
    <w:rsid w:val="0009036A"/>
    <w:rsid w:val="00092B38"/>
    <w:rsid w:val="00093674"/>
    <w:rsid w:val="00093D3C"/>
    <w:rsid w:val="000A4490"/>
    <w:rsid w:val="000A63C5"/>
    <w:rsid w:val="000A6C52"/>
    <w:rsid w:val="000B0102"/>
    <w:rsid w:val="000B37B5"/>
    <w:rsid w:val="000B52CF"/>
    <w:rsid w:val="000B64FA"/>
    <w:rsid w:val="000B6E25"/>
    <w:rsid w:val="000B7F5C"/>
    <w:rsid w:val="000C16AE"/>
    <w:rsid w:val="000C2086"/>
    <w:rsid w:val="000C62E7"/>
    <w:rsid w:val="000C7044"/>
    <w:rsid w:val="000C7628"/>
    <w:rsid w:val="000D0DA9"/>
    <w:rsid w:val="000D0DFE"/>
    <w:rsid w:val="000D101E"/>
    <w:rsid w:val="000D1D5A"/>
    <w:rsid w:val="000D367A"/>
    <w:rsid w:val="000D372D"/>
    <w:rsid w:val="000D7D6E"/>
    <w:rsid w:val="000E530E"/>
    <w:rsid w:val="000E760E"/>
    <w:rsid w:val="000E7734"/>
    <w:rsid w:val="000E7CFA"/>
    <w:rsid w:val="000F13EF"/>
    <w:rsid w:val="000F17E9"/>
    <w:rsid w:val="000F1BA1"/>
    <w:rsid w:val="000F3059"/>
    <w:rsid w:val="000F3138"/>
    <w:rsid w:val="000F36B1"/>
    <w:rsid w:val="00103119"/>
    <w:rsid w:val="00111203"/>
    <w:rsid w:val="0011304C"/>
    <w:rsid w:val="0011351B"/>
    <w:rsid w:val="00115A9D"/>
    <w:rsid w:val="00121BB7"/>
    <w:rsid w:val="0012248B"/>
    <w:rsid w:val="00122BC1"/>
    <w:rsid w:val="00122D08"/>
    <w:rsid w:val="00127EB3"/>
    <w:rsid w:val="00134858"/>
    <w:rsid w:val="001370C8"/>
    <w:rsid w:val="00137102"/>
    <w:rsid w:val="0013787D"/>
    <w:rsid w:val="00141204"/>
    <w:rsid w:val="00142D51"/>
    <w:rsid w:val="0015179C"/>
    <w:rsid w:val="00153060"/>
    <w:rsid w:val="00153AAD"/>
    <w:rsid w:val="001546B2"/>
    <w:rsid w:val="00155507"/>
    <w:rsid w:val="001575BE"/>
    <w:rsid w:val="00160549"/>
    <w:rsid w:val="00162D01"/>
    <w:rsid w:val="0016363B"/>
    <w:rsid w:val="00165C79"/>
    <w:rsid w:val="0017032E"/>
    <w:rsid w:val="001705B8"/>
    <w:rsid w:val="00170CCB"/>
    <w:rsid w:val="00176CAB"/>
    <w:rsid w:val="00180AB5"/>
    <w:rsid w:val="001810BD"/>
    <w:rsid w:val="00181A38"/>
    <w:rsid w:val="001839A3"/>
    <w:rsid w:val="00185573"/>
    <w:rsid w:val="00185968"/>
    <w:rsid w:val="001860D6"/>
    <w:rsid w:val="001916BB"/>
    <w:rsid w:val="00193D57"/>
    <w:rsid w:val="00196926"/>
    <w:rsid w:val="001A1F9A"/>
    <w:rsid w:val="001A2065"/>
    <w:rsid w:val="001A627D"/>
    <w:rsid w:val="001B1987"/>
    <w:rsid w:val="001B1F34"/>
    <w:rsid w:val="001B5D4F"/>
    <w:rsid w:val="001C20E8"/>
    <w:rsid w:val="001C2B32"/>
    <w:rsid w:val="001C2BFF"/>
    <w:rsid w:val="001C2C81"/>
    <w:rsid w:val="001C3D04"/>
    <w:rsid w:val="001C58F7"/>
    <w:rsid w:val="001C6D0A"/>
    <w:rsid w:val="001D0795"/>
    <w:rsid w:val="001D177B"/>
    <w:rsid w:val="001D3168"/>
    <w:rsid w:val="001D32D7"/>
    <w:rsid w:val="001D78B9"/>
    <w:rsid w:val="001D7C02"/>
    <w:rsid w:val="001E024B"/>
    <w:rsid w:val="001E2CCC"/>
    <w:rsid w:val="001E5B20"/>
    <w:rsid w:val="001E6BEE"/>
    <w:rsid w:val="001F0A87"/>
    <w:rsid w:val="001F1268"/>
    <w:rsid w:val="001F2433"/>
    <w:rsid w:val="002010AD"/>
    <w:rsid w:val="00201107"/>
    <w:rsid w:val="002022D4"/>
    <w:rsid w:val="00203FD3"/>
    <w:rsid w:val="00205DE5"/>
    <w:rsid w:val="0021287B"/>
    <w:rsid w:val="00213C17"/>
    <w:rsid w:val="00214519"/>
    <w:rsid w:val="00214B89"/>
    <w:rsid w:val="0021617A"/>
    <w:rsid w:val="00216681"/>
    <w:rsid w:val="0022403A"/>
    <w:rsid w:val="00226321"/>
    <w:rsid w:val="002263EF"/>
    <w:rsid w:val="002268C8"/>
    <w:rsid w:val="002308EB"/>
    <w:rsid w:val="0023147C"/>
    <w:rsid w:val="0023364E"/>
    <w:rsid w:val="00235975"/>
    <w:rsid w:val="00236EDC"/>
    <w:rsid w:val="00240FD5"/>
    <w:rsid w:val="00242FEF"/>
    <w:rsid w:val="00245379"/>
    <w:rsid w:val="00246F28"/>
    <w:rsid w:val="00250836"/>
    <w:rsid w:val="00251494"/>
    <w:rsid w:val="002541EA"/>
    <w:rsid w:val="00254A23"/>
    <w:rsid w:val="0026120E"/>
    <w:rsid w:val="00262D4A"/>
    <w:rsid w:val="00265896"/>
    <w:rsid w:val="00276E17"/>
    <w:rsid w:val="002771B5"/>
    <w:rsid w:val="00277C44"/>
    <w:rsid w:val="002824CD"/>
    <w:rsid w:val="00282A22"/>
    <w:rsid w:val="00284CD3"/>
    <w:rsid w:val="0028593F"/>
    <w:rsid w:val="00292D0E"/>
    <w:rsid w:val="00292FB5"/>
    <w:rsid w:val="00295E40"/>
    <w:rsid w:val="00296F69"/>
    <w:rsid w:val="0029744F"/>
    <w:rsid w:val="002A11B9"/>
    <w:rsid w:val="002A1356"/>
    <w:rsid w:val="002A3844"/>
    <w:rsid w:val="002A42AF"/>
    <w:rsid w:val="002A5F54"/>
    <w:rsid w:val="002A79A2"/>
    <w:rsid w:val="002A7FD5"/>
    <w:rsid w:val="002B1014"/>
    <w:rsid w:val="002B3302"/>
    <w:rsid w:val="002B4C6D"/>
    <w:rsid w:val="002B4F4C"/>
    <w:rsid w:val="002C04E4"/>
    <w:rsid w:val="002C0E9A"/>
    <w:rsid w:val="002C15EE"/>
    <w:rsid w:val="002C2BCB"/>
    <w:rsid w:val="002C6496"/>
    <w:rsid w:val="002D49DF"/>
    <w:rsid w:val="002D4C67"/>
    <w:rsid w:val="002D62E4"/>
    <w:rsid w:val="002D7CDF"/>
    <w:rsid w:val="002E1AAF"/>
    <w:rsid w:val="002E2985"/>
    <w:rsid w:val="002E6A46"/>
    <w:rsid w:val="002E6D31"/>
    <w:rsid w:val="002F05DB"/>
    <w:rsid w:val="002F0F8F"/>
    <w:rsid w:val="002F269E"/>
    <w:rsid w:val="002F3AAC"/>
    <w:rsid w:val="002F3E9E"/>
    <w:rsid w:val="002F5FF7"/>
    <w:rsid w:val="002F66E4"/>
    <w:rsid w:val="003039CB"/>
    <w:rsid w:val="00310BB0"/>
    <w:rsid w:val="00313E6B"/>
    <w:rsid w:val="00317961"/>
    <w:rsid w:val="00324ACD"/>
    <w:rsid w:val="00325BAA"/>
    <w:rsid w:val="003272B2"/>
    <w:rsid w:val="00327673"/>
    <w:rsid w:val="003278ED"/>
    <w:rsid w:val="00327C5D"/>
    <w:rsid w:val="00330336"/>
    <w:rsid w:val="00332155"/>
    <w:rsid w:val="003356BD"/>
    <w:rsid w:val="0033689D"/>
    <w:rsid w:val="003378ED"/>
    <w:rsid w:val="00340586"/>
    <w:rsid w:val="00341914"/>
    <w:rsid w:val="003465B7"/>
    <w:rsid w:val="00352C41"/>
    <w:rsid w:val="00355DF9"/>
    <w:rsid w:val="003570F4"/>
    <w:rsid w:val="00363235"/>
    <w:rsid w:val="003634CF"/>
    <w:rsid w:val="003643CF"/>
    <w:rsid w:val="00366240"/>
    <w:rsid w:val="0036735A"/>
    <w:rsid w:val="00374C97"/>
    <w:rsid w:val="003760B6"/>
    <w:rsid w:val="00376ADB"/>
    <w:rsid w:val="00377E96"/>
    <w:rsid w:val="0038045A"/>
    <w:rsid w:val="0038070D"/>
    <w:rsid w:val="0038171F"/>
    <w:rsid w:val="00381D23"/>
    <w:rsid w:val="0038213E"/>
    <w:rsid w:val="00382DFD"/>
    <w:rsid w:val="003839DE"/>
    <w:rsid w:val="0038503C"/>
    <w:rsid w:val="00385270"/>
    <w:rsid w:val="00385D18"/>
    <w:rsid w:val="00385D3C"/>
    <w:rsid w:val="00387340"/>
    <w:rsid w:val="003877A7"/>
    <w:rsid w:val="003877FB"/>
    <w:rsid w:val="00387D68"/>
    <w:rsid w:val="00387F72"/>
    <w:rsid w:val="00393FBF"/>
    <w:rsid w:val="003A04F7"/>
    <w:rsid w:val="003A182B"/>
    <w:rsid w:val="003A3939"/>
    <w:rsid w:val="003A393A"/>
    <w:rsid w:val="003A4031"/>
    <w:rsid w:val="003A7019"/>
    <w:rsid w:val="003B02D7"/>
    <w:rsid w:val="003B02EC"/>
    <w:rsid w:val="003B19BD"/>
    <w:rsid w:val="003B501C"/>
    <w:rsid w:val="003C079D"/>
    <w:rsid w:val="003C1B85"/>
    <w:rsid w:val="003C1F35"/>
    <w:rsid w:val="003C56F6"/>
    <w:rsid w:val="003C7490"/>
    <w:rsid w:val="003D0F5E"/>
    <w:rsid w:val="003D1D1E"/>
    <w:rsid w:val="003D4126"/>
    <w:rsid w:val="003D41D4"/>
    <w:rsid w:val="003E3134"/>
    <w:rsid w:val="003E369E"/>
    <w:rsid w:val="003E69D5"/>
    <w:rsid w:val="003F00C2"/>
    <w:rsid w:val="003F0C4B"/>
    <w:rsid w:val="003F1213"/>
    <w:rsid w:val="003F202F"/>
    <w:rsid w:val="003F288E"/>
    <w:rsid w:val="003F2988"/>
    <w:rsid w:val="003F4139"/>
    <w:rsid w:val="003F52A9"/>
    <w:rsid w:val="003F5FAC"/>
    <w:rsid w:val="003F730C"/>
    <w:rsid w:val="003F730F"/>
    <w:rsid w:val="00401D08"/>
    <w:rsid w:val="00401E06"/>
    <w:rsid w:val="0040362A"/>
    <w:rsid w:val="004045D1"/>
    <w:rsid w:val="00405379"/>
    <w:rsid w:val="00405E38"/>
    <w:rsid w:val="00405FCA"/>
    <w:rsid w:val="00406A94"/>
    <w:rsid w:val="00412495"/>
    <w:rsid w:val="004127F5"/>
    <w:rsid w:val="0041547E"/>
    <w:rsid w:val="00415918"/>
    <w:rsid w:val="004174D0"/>
    <w:rsid w:val="00417F86"/>
    <w:rsid w:val="004207AC"/>
    <w:rsid w:val="00420ACD"/>
    <w:rsid w:val="00421778"/>
    <w:rsid w:val="00423751"/>
    <w:rsid w:val="00424E6B"/>
    <w:rsid w:val="00426C4B"/>
    <w:rsid w:val="00427266"/>
    <w:rsid w:val="00427B49"/>
    <w:rsid w:val="004322DA"/>
    <w:rsid w:val="0043279B"/>
    <w:rsid w:val="00432AFE"/>
    <w:rsid w:val="00432C91"/>
    <w:rsid w:val="00432DC0"/>
    <w:rsid w:val="004339D8"/>
    <w:rsid w:val="00436552"/>
    <w:rsid w:val="0044001C"/>
    <w:rsid w:val="00450FCC"/>
    <w:rsid w:val="00451501"/>
    <w:rsid w:val="004519AC"/>
    <w:rsid w:val="0045313A"/>
    <w:rsid w:val="00455946"/>
    <w:rsid w:val="00462274"/>
    <w:rsid w:val="004667EC"/>
    <w:rsid w:val="00470D71"/>
    <w:rsid w:val="0047193F"/>
    <w:rsid w:val="00473AE7"/>
    <w:rsid w:val="0047423E"/>
    <w:rsid w:val="00476E94"/>
    <w:rsid w:val="00476FBB"/>
    <w:rsid w:val="00480B90"/>
    <w:rsid w:val="0048616C"/>
    <w:rsid w:val="00486B46"/>
    <w:rsid w:val="00487022"/>
    <w:rsid w:val="004872B3"/>
    <w:rsid w:val="004910EC"/>
    <w:rsid w:val="004A13A0"/>
    <w:rsid w:val="004A20D6"/>
    <w:rsid w:val="004A278D"/>
    <w:rsid w:val="004A4094"/>
    <w:rsid w:val="004A4F59"/>
    <w:rsid w:val="004A4F8F"/>
    <w:rsid w:val="004A526A"/>
    <w:rsid w:val="004A5DEE"/>
    <w:rsid w:val="004A6E75"/>
    <w:rsid w:val="004A6EEB"/>
    <w:rsid w:val="004A7D7A"/>
    <w:rsid w:val="004B2A80"/>
    <w:rsid w:val="004B3BD4"/>
    <w:rsid w:val="004B4869"/>
    <w:rsid w:val="004B5CEF"/>
    <w:rsid w:val="004B7843"/>
    <w:rsid w:val="004B7CE0"/>
    <w:rsid w:val="004C0D27"/>
    <w:rsid w:val="004C1F87"/>
    <w:rsid w:val="004C26D6"/>
    <w:rsid w:val="004C39FA"/>
    <w:rsid w:val="004C400B"/>
    <w:rsid w:val="004C49D4"/>
    <w:rsid w:val="004C4D1A"/>
    <w:rsid w:val="004C58D2"/>
    <w:rsid w:val="004C5AC4"/>
    <w:rsid w:val="004C6767"/>
    <w:rsid w:val="004C6DB3"/>
    <w:rsid w:val="004D20A4"/>
    <w:rsid w:val="004D38DB"/>
    <w:rsid w:val="004D3FDB"/>
    <w:rsid w:val="004E066A"/>
    <w:rsid w:val="004E2F87"/>
    <w:rsid w:val="004E36E2"/>
    <w:rsid w:val="004E4F72"/>
    <w:rsid w:val="004E53D7"/>
    <w:rsid w:val="004E6746"/>
    <w:rsid w:val="004E76D0"/>
    <w:rsid w:val="004F21F6"/>
    <w:rsid w:val="004F6AF4"/>
    <w:rsid w:val="004F72F9"/>
    <w:rsid w:val="004F7A1A"/>
    <w:rsid w:val="00501514"/>
    <w:rsid w:val="00501A10"/>
    <w:rsid w:val="005029F6"/>
    <w:rsid w:val="00504500"/>
    <w:rsid w:val="00505265"/>
    <w:rsid w:val="00505860"/>
    <w:rsid w:val="005064FA"/>
    <w:rsid w:val="005067D1"/>
    <w:rsid w:val="00520BBA"/>
    <w:rsid w:val="0052158C"/>
    <w:rsid w:val="00523B4F"/>
    <w:rsid w:val="00523D13"/>
    <w:rsid w:val="00524756"/>
    <w:rsid w:val="00525D4D"/>
    <w:rsid w:val="00527EFA"/>
    <w:rsid w:val="00531037"/>
    <w:rsid w:val="00531EA1"/>
    <w:rsid w:val="005340D9"/>
    <w:rsid w:val="005355FC"/>
    <w:rsid w:val="00535C96"/>
    <w:rsid w:val="00535F8D"/>
    <w:rsid w:val="005447AA"/>
    <w:rsid w:val="00544B6F"/>
    <w:rsid w:val="005515C3"/>
    <w:rsid w:val="00551C7E"/>
    <w:rsid w:val="00552DE5"/>
    <w:rsid w:val="00553B10"/>
    <w:rsid w:val="00554323"/>
    <w:rsid w:val="00554684"/>
    <w:rsid w:val="005632B6"/>
    <w:rsid w:val="005633E5"/>
    <w:rsid w:val="00564917"/>
    <w:rsid w:val="00565582"/>
    <w:rsid w:val="00566649"/>
    <w:rsid w:val="00566819"/>
    <w:rsid w:val="00570D66"/>
    <w:rsid w:val="00573F31"/>
    <w:rsid w:val="00573FFC"/>
    <w:rsid w:val="00574565"/>
    <w:rsid w:val="00575FB2"/>
    <w:rsid w:val="005765E0"/>
    <w:rsid w:val="00580915"/>
    <w:rsid w:val="00582BC0"/>
    <w:rsid w:val="00583832"/>
    <w:rsid w:val="005904CE"/>
    <w:rsid w:val="00590B4C"/>
    <w:rsid w:val="00590C7D"/>
    <w:rsid w:val="005928C8"/>
    <w:rsid w:val="00592AAA"/>
    <w:rsid w:val="00592E48"/>
    <w:rsid w:val="00593AF2"/>
    <w:rsid w:val="00593DFC"/>
    <w:rsid w:val="00593E43"/>
    <w:rsid w:val="00594B24"/>
    <w:rsid w:val="00596522"/>
    <w:rsid w:val="005971B5"/>
    <w:rsid w:val="005A0990"/>
    <w:rsid w:val="005A1326"/>
    <w:rsid w:val="005A21AB"/>
    <w:rsid w:val="005B06B3"/>
    <w:rsid w:val="005B4E18"/>
    <w:rsid w:val="005B641F"/>
    <w:rsid w:val="005B692A"/>
    <w:rsid w:val="005C00F9"/>
    <w:rsid w:val="005C0FFD"/>
    <w:rsid w:val="005C1379"/>
    <w:rsid w:val="005C3890"/>
    <w:rsid w:val="005C3BF5"/>
    <w:rsid w:val="005C49A1"/>
    <w:rsid w:val="005D025B"/>
    <w:rsid w:val="005D0A95"/>
    <w:rsid w:val="005D1D94"/>
    <w:rsid w:val="005D2FF4"/>
    <w:rsid w:val="005D4A8D"/>
    <w:rsid w:val="005D4C0A"/>
    <w:rsid w:val="005D59EE"/>
    <w:rsid w:val="005D7768"/>
    <w:rsid w:val="005E004F"/>
    <w:rsid w:val="005E29A5"/>
    <w:rsid w:val="005F1F98"/>
    <w:rsid w:val="005F20A0"/>
    <w:rsid w:val="005F376D"/>
    <w:rsid w:val="005F3935"/>
    <w:rsid w:val="005F5B10"/>
    <w:rsid w:val="005F5DB9"/>
    <w:rsid w:val="005F6C17"/>
    <w:rsid w:val="005F6D90"/>
    <w:rsid w:val="0060199C"/>
    <w:rsid w:val="006019A2"/>
    <w:rsid w:val="00602079"/>
    <w:rsid w:val="006021D9"/>
    <w:rsid w:val="006046CA"/>
    <w:rsid w:val="00604B87"/>
    <w:rsid w:val="00604D11"/>
    <w:rsid w:val="00605904"/>
    <w:rsid w:val="006061FE"/>
    <w:rsid w:val="006062D8"/>
    <w:rsid w:val="0060723F"/>
    <w:rsid w:val="00610AD7"/>
    <w:rsid w:val="00611733"/>
    <w:rsid w:val="006137E9"/>
    <w:rsid w:val="00614F27"/>
    <w:rsid w:val="00615707"/>
    <w:rsid w:val="00615A4E"/>
    <w:rsid w:val="006163D3"/>
    <w:rsid w:val="00616A9B"/>
    <w:rsid w:val="00616E9F"/>
    <w:rsid w:val="00620312"/>
    <w:rsid w:val="00621DD2"/>
    <w:rsid w:val="00623F56"/>
    <w:rsid w:val="0062716D"/>
    <w:rsid w:val="00630E9C"/>
    <w:rsid w:val="00632E9C"/>
    <w:rsid w:val="0063609C"/>
    <w:rsid w:val="00636D24"/>
    <w:rsid w:val="00640482"/>
    <w:rsid w:val="00641D6F"/>
    <w:rsid w:val="006423B6"/>
    <w:rsid w:val="00642875"/>
    <w:rsid w:val="00643EB7"/>
    <w:rsid w:val="00644A92"/>
    <w:rsid w:val="00645BBB"/>
    <w:rsid w:val="00645FDC"/>
    <w:rsid w:val="00650E0C"/>
    <w:rsid w:val="0065198B"/>
    <w:rsid w:val="006527E1"/>
    <w:rsid w:val="00652B11"/>
    <w:rsid w:val="00652CE0"/>
    <w:rsid w:val="00652DD3"/>
    <w:rsid w:val="00653217"/>
    <w:rsid w:val="00654437"/>
    <w:rsid w:val="006548AD"/>
    <w:rsid w:val="0065759A"/>
    <w:rsid w:val="00662E8D"/>
    <w:rsid w:val="00663247"/>
    <w:rsid w:val="00663882"/>
    <w:rsid w:val="00663DBB"/>
    <w:rsid w:val="006644DC"/>
    <w:rsid w:val="0066551A"/>
    <w:rsid w:val="006660E4"/>
    <w:rsid w:val="0066695E"/>
    <w:rsid w:val="00671A3E"/>
    <w:rsid w:val="006725B4"/>
    <w:rsid w:val="006767C0"/>
    <w:rsid w:val="00676B2C"/>
    <w:rsid w:val="006777C0"/>
    <w:rsid w:val="00681225"/>
    <w:rsid w:val="00681DF2"/>
    <w:rsid w:val="006847FC"/>
    <w:rsid w:val="0069392F"/>
    <w:rsid w:val="00696CEB"/>
    <w:rsid w:val="006974CE"/>
    <w:rsid w:val="006974DC"/>
    <w:rsid w:val="006A0F38"/>
    <w:rsid w:val="006A42D0"/>
    <w:rsid w:val="006A6C85"/>
    <w:rsid w:val="006B0036"/>
    <w:rsid w:val="006B02D9"/>
    <w:rsid w:val="006B4633"/>
    <w:rsid w:val="006B5F9F"/>
    <w:rsid w:val="006C3657"/>
    <w:rsid w:val="006C5788"/>
    <w:rsid w:val="006D3CC5"/>
    <w:rsid w:val="006D4CFE"/>
    <w:rsid w:val="006D79B3"/>
    <w:rsid w:val="006E0DCC"/>
    <w:rsid w:val="006E1906"/>
    <w:rsid w:val="006E2F92"/>
    <w:rsid w:val="006E32E2"/>
    <w:rsid w:val="006E5D37"/>
    <w:rsid w:val="006E637B"/>
    <w:rsid w:val="006F4481"/>
    <w:rsid w:val="0070056C"/>
    <w:rsid w:val="00701555"/>
    <w:rsid w:val="007020AA"/>
    <w:rsid w:val="00703A3C"/>
    <w:rsid w:val="00704CF9"/>
    <w:rsid w:val="0070768D"/>
    <w:rsid w:val="00707F55"/>
    <w:rsid w:val="0071028D"/>
    <w:rsid w:val="007104A2"/>
    <w:rsid w:val="00711088"/>
    <w:rsid w:val="00712215"/>
    <w:rsid w:val="00712AE2"/>
    <w:rsid w:val="00713587"/>
    <w:rsid w:val="00713667"/>
    <w:rsid w:val="007152B5"/>
    <w:rsid w:val="00716265"/>
    <w:rsid w:val="00716A1E"/>
    <w:rsid w:val="00722593"/>
    <w:rsid w:val="0072259D"/>
    <w:rsid w:val="007231E7"/>
    <w:rsid w:val="0072524E"/>
    <w:rsid w:val="0072602B"/>
    <w:rsid w:val="00727839"/>
    <w:rsid w:val="00730249"/>
    <w:rsid w:val="00730D3E"/>
    <w:rsid w:val="00731E0D"/>
    <w:rsid w:val="00735574"/>
    <w:rsid w:val="00740174"/>
    <w:rsid w:val="00741437"/>
    <w:rsid w:val="00741583"/>
    <w:rsid w:val="007508DE"/>
    <w:rsid w:val="00756416"/>
    <w:rsid w:val="007619CC"/>
    <w:rsid w:val="007623D4"/>
    <w:rsid w:val="00763721"/>
    <w:rsid w:val="00772883"/>
    <w:rsid w:val="00774349"/>
    <w:rsid w:val="007766AD"/>
    <w:rsid w:val="00776FA1"/>
    <w:rsid w:val="00782BCF"/>
    <w:rsid w:val="00787533"/>
    <w:rsid w:val="00787D3E"/>
    <w:rsid w:val="0079166F"/>
    <w:rsid w:val="00791E18"/>
    <w:rsid w:val="007950B0"/>
    <w:rsid w:val="007960AA"/>
    <w:rsid w:val="00796BB0"/>
    <w:rsid w:val="00796E36"/>
    <w:rsid w:val="007970FD"/>
    <w:rsid w:val="00797730"/>
    <w:rsid w:val="00797F28"/>
    <w:rsid w:val="007A0776"/>
    <w:rsid w:val="007A229B"/>
    <w:rsid w:val="007A33CE"/>
    <w:rsid w:val="007A6787"/>
    <w:rsid w:val="007A7D7A"/>
    <w:rsid w:val="007B145B"/>
    <w:rsid w:val="007B22B8"/>
    <w:rsid w:val="007B5252"/>
    <w:rsid w:val="007B53E0"/>
    <w:rsid w:val="007B69E5"/>
    <w:rsid w:val="007B6F2F"/>
    <w:rsid w:val="007B7574"/>
    <w:rsid w:val="007C0EBC"/>
    <w:rsid w:val="007C12ED"/>
    <w:rsid w:val="007C5D0A"/>
    <w:rsid w:val="007C698B"/>
    <w:rsid w:val="007C77FF"/>
    <w:rsid w:val="007D1756"/>
    <w:rsid w:val="007D3A39"/>
    <w:rsid w:val="007D4330"/>
    <w:rsid w:val="007D5973"/>
    <w:rsid w:val="007D59EF"/>
    <w:rsid w:val="007D6551"/>
    <w:rsid w:val="007D689B"/>
    <w:rsid w:val="007E0EF6"/>
    <w:rsid w:val="007E1409"/>
    <w:rsid w:val="007E34CD"/>
    <w:rsid w:val="007E5BD8"/>
    <w:rsid w:val="007E6AEC"/>
    <w:rsid w:val="007F059C"/>
    <w:rsid w:val="007F08B0"/>
    <w:rsid w:val="007F43AC"/>
    <w:rsid w:val="007F63D3"/>
    <w:rsid w:val="007F7F38"/>
    <w:rsid w:val="008022BA"/>
    <w:rsid w:val="00802C1E"/>
    <w:rsid w:val="00810AC7"/>
    <w:rsid w:val="00813D90"/>
    <w:rsid w:val="00814CDE"/>
    <w:rsid w:val="008206BA"/>
    <w:rsid w:val="00822602"/>
    <w:rsid w:val="00822972"/>
    <w:rsid w:val="00823379"/>
    <w:rsid w:val="008256B9"/>
    <w:rsid w:val="008312E2"/>
    <w:rsid w:val="00833111"/>
    <w:rsid w:val="0083464E"/>
    <w:rsid w:val="00835724"/>
    <w:rsid w:val="008371DF"/>
    <w:rsid w:val="00840651"/>
    <w:rsid w:val="00841240"/>
    <w:rsid w:val="00843C43"/>
    <w:rsid w:val="00844035"/>
    <w:rsid w:val="00844BDB"/>
    <w:rsid w:val="00846126"/>
    <w:rsid w:val="008468BF"/>
    <w:rsid w:val="0085179D"/>
    <w:rsid w:val="0085402D"/>
    <w:rsid w:val="008567EE"/>
    <w:rsid w:val="00860248"/>
    <w:rsid w:val="008610EB"/>
    <w:rsid w:val="0086123F"/>
    <w:rsid w:val="0086223F"/>
    <w:rsid w:val="00862996"/>
    <w:rsid w:val="00862C81"/>
    <w:rsid w:val="008635A1"/>
    <w:rsid w:val="00865790"/>
    <w:rsid w:val="00865D46"/>
    <w:rsid w:val="00866823"/>
    <w:rsid w:val="00866F44"/>
    <w:rsid w:val="008674CE"/>
    <w:rsid w:val="00867842"/>
    <w:rsid w:val="00867E9D"/>
    <w:rsid w:val="008745BE"/>
    <w:rsid w:val="0088146B"/>
    <w:rsid w:val="0088350A"/>
    <w:rsid w:val="00884993"/>
    <w:rsid w:val="0088500D"/>
    <w:rsid w:val="0088538F"/>
    <w:rsid w:val="00885C31"/>
    <w:rsid w:val="00886034"/>
    <w:rsid w:val="00887340"/>
    <w:rsid w:val="0089009A"/>
    <w:rsid w:val="00891825"/>
    <w:rsid w:val="00892DCB"/>
    <w:rsid w:val="00893523"/>
    <w:rsid w:val="00896B4F"/>
    <w:rsid w:val="00897BEB"/>
    <w:rsid w:val="008A25EC"/>
    <w:rsid w:val="008A38EF"/>
    <w:rsid w:val="008A3DC0"/>
    <w:rsid w:val="008A59E8"/>
    <w:rsid w:val="008A6E5F"/>
    <w:rsid w:val="008A7FC6"/>
    <w:rsid w:val="008B0BB1"/>
    <w:rsid w:val="008B1BEF"/>
    <w:rsid w:val="008B386C"/>
    <w:rsid w:val="008B3952"/>
    <w:rsid w:val="008B3E63"/>
    <w:rsid w:val="008B657F"/>
    <w:rsid w:val="008B7810"/>
    <w:rsid w:val="008C1A8E"/>
    <w:rsid w:val="008C2761"/>
    <w:rsid w:val="008C42B1"/>
    <w:rsid w:val="008D1238"/>
    <w:rsid w:val="008D2782"/>
    <w:rsid w:val="008D3E4B"/>
    <w:rsid w:val="008D4AE0"/>
    <w:rsid w:val="008D59F2"/>
    <w:rsid w:val="008D6A90"/>
    <w:rsid w:val="008E0EB0"/>
    <w:rsid w:val="008E74BF"/>
    <w:rsid w:val="008E7A89"/>
    <w:rsid w:val="008F0714"/>
    <w:rsid w:val="008F1532"/>
    <w:rsid w:val="008F1707"/>
    <w:rsid w:val="008F2220"/>
    <w:rsid w:val="008F28B6"/>
    <w:rsid w:val="008F3A96"/>
    <w:rsid w:val="008F4FB1"/>
    <w:rsid w:val="008F50C8"/>
    <w:rsid w:val="008F6EE7"/>
    <w:rsid w:val="008F720B"/>
    <w:rsid w:val="00903E3E"/>
    <w:rsid w:val="00905855"/>
    <w:rsid w:val="00906297"/>
    <w:rsid w:val="00906BC3"/>
    <w:rsid w:val="0090776B"/>
    <w:rsid w:val="00910045"/>
    <w:rsid w:val="00912809"/>
    <w:rsid w:val="009129CC"/>
    <w:rsid w:val="00912EE9"/>
    <w:rsid w:val="00913F38"/>
    <w:rsid w:val="00915CFF"/>
    <w:rsid w:val="009161F5"/>
    <w:rsid w:val="00916D8A"/>
    <w:rsid w:val="00920814"/>
    <w:rsid w:val="009211DE"/>
    <w:rsid w:val="00922251"/>
    <w:rsid w:val="00926147"/>
    <w:rsid w:val="00927762"/>
    <w:rsid w:val="00930E87"/>
    <w:rsid w:val="009318D2"/>
    <w:rsid w:val="00931E15"/>
    <w:rsid w:val="009337D6"/>
    <w:rsid w:val="009343B1"/>
    <w:rsid w:val="009359BD"/>
    <w:rsid w:val="00935C78"/>
    <w:rsid w:val="00937397"/>
    <w:rsid w:val="009422F8"/>
    <w:rsid w:val="009427C6"/>
    <w:rsid w:val="00942820"/>
    <w:rsid w:val="00943467"/>
    <w:rsid w:val="009440F7"/>
    <w:rsid w:val="009460F0"/>
    <w:rsid w:val="00950818"/>
    <w:rsid w:val="00955622"/>
    <w:rsid w:val="00957277"/>
    <w:rsid w:val="009576EA"/>
    <w:rsid w:val="00963A9C"/>
    <w:rsid w:val="0096420D"/>
    <w:rsid w:val="009665F7"/>
    <w:rsid w:val="0097082C"/>
    <w:rsid w:val="00972247"/>
    <w:rsid w:val="009736A3"/>
    <w:rsid w:val="00973770"/>
    <w:rsid w:val="00982BCB"/>
    <w:rsid w:val="0098311A"/>
    <w:rsid w:val="00985819"/>
    <w:rsid w:val="00987783"/>
    <w:rsid w:val="009904BF"/>
    <w:rsid w:val="009911D4"/>
    <w:rsid w:val="00991F0C"/>
    <w:rsid w:val="0099206C"/>
    <w:rsid w:val="009951B4"/>
    <w:rsid w:val="009A1A85"/>
    <w:rsid w:val="009A2705"/>
    <w:rsid w:val="009A294C"/>
    <w:rsid w:val="009A3185"/>
    <w:rsid w:val="009B050F"/>
    <w:rsid w:val="009B4D45"/>
    <w:rsid w:val="009C0ED1"/>
    <w:rsid w:val="009C2004"/>
    <w:rsid w:val="009C2E66"/>
    <w:rsid w:val="009C5006"/>
    <w:rsid w:val="009C6060"/>
    <w:rsid w:val="009C746C"/>
    <w:rsid w:val="009D0A17"/>
    <w:rsid w:val="009D2587"/>
    <w:rsid w:val="009D3B56"/>
    <w:rsid w:val="009D6338"/>
    <w:rsid w:val="009E23D4"/>
    <w:rsid w:val="009E4A3D"/>
    <w:rsid w:val="009E5E1D"/>
    <w:rsid w:val="009E6AB4"/>
    <w:rsid w:val="009F1C11"/>
    <w:rsid w:val="009F1C63"/>
    <w:rsid w:val="009F48BD"/>
    <w:rsid w:val="009F5143"/>
    <w:rsid w:val="00A036D1"/>
    <w:rsid w:val="00A03920"/>
    <w:rsid w:val="00A03B73"/>
    <w:rsid w:val="00A03D0D"/>
    <w:rsid w:val="00A043DB"/>
    <w:rsid w:val="00A0719F"/>
    <w:rsid w:val="00A073EA"/>
    <w:rsid w:val="00A10DFF"/>
    <w:rsid w:val="00A11AC1"/>
    <w:rsid w:val="00A11C23"/>
    <w:rsid w:val="00A14E8E"/>
    <w:rsid w:val="00A155C6"/>
    <w:rsid w:val="00A2045E"/>
    <w:rsid w:val="00A21261"/>
    <w:rsid w:val="00A21299"/>
    <w:rsid w:val="00A220FC"/>
    <w:rsid w:val="00A22E21"/>
    <w:rsid w:val="00A242A0"/>
    <w:rsid w:val="00A24A10"/>
    <w:rsid w:val="00A27707"/>
    <w:rsid w:val="00A30CF9"/>
    <w:rsid w:val="00A32466"/>
    <w:rsid w:val="00A3249C"/>
    <w:rsid w:val="00A335AB"/>
    <w:rsid w:val="00A3425B"/>
    <w:rsid w:val="00A35B76"/>
    <w:rsid w:val="00A35E5F"/>
    <w:rsid w:val="00A36C9E"/>
    <w:rsid w:val="00A403C1"/>
    <w:rsid w:val="00A4290A"/>
    <w:rsid w:val="00A442E5"/>
    <w:rsid w:val="00A448BE"/>
    <w:rsid w:val="00A44E38"/>
    <w:rsid w:val="00A4650F"/>
    <w:rsid w:val="00A468D0"/>
    <w:rsid w:val="00A519D9"/>
    <w:rsid w:val="00A567E5"/>
    <w:rsid w:val="00A56A41"/>
    <w:rsid w:val="00A574A4"/>
    <w:rsid w:val="00A63D59"/>
    <w:rsid w:val="00A64194"/>
    <w:rsid w:val="00A656E8"/>
    <w:rsid w:val="00A66D38"/>
    <w:rsid w:val="00A67045"/>
    <w:rsid w:val="00A71806"/>
    <w:rsid w:val="00A7190B"/>
    <w:rsid w:val="00A7546C"/>
    <w:rsid w:val="00A7648D"/>
    <w:rsid w:val="00A777FC"/>
    <w:rsid w:val="00A77A8C"/>
    <w:rsid w:val="00A8354C"/>
    <w:rsid w:val="00A83627"/>
    <w:rsid w:val="00A847C0"/>
    <w:rsid w:val="00A863AE"/>
    <w:rsid w:val="00A8642B"/>
    <w:rsid w:val="00A93C22"/>
    <w:rsid w:val="00A941FE"/>
    <w:rsid w:val="00A9487D"/>
    <w:rsid w:val="00A95041"/>
    <w:rsid w:val="00A95285"/>
    <w:rsid w:val="00A9593F"/>
    <w:rsid w:val="00AA31ED"/>
    <w:rsid w:val="00AA4703"/>
    <w:rsid w:val="00AA4E77"/>
    <w:rsid w:val="00AA7297"/>
    <w:rsid w:val="00AB0DA4"/>
    <w:rsid w:val="00AB17B7"/>
    <w:rsid w:val="00AB25CE"/>
    <w:rsid w:val="00AB4F66"/>
    <w:rsid w:val="00AB62D8"/>
    <w:rsid w:val="00AB64ED"/>
    <w:rsid w:val="00AC017F"/>
    <w:rsid w:val="00AC1324"/>
    <w:rsid w:val="00AC28EC"/>
    <w:rsid w:val="00AC2B95"/>
    <w:rsid w:val="00AC3C87"/>
    <w:rsid w:val="00AC7079"/>
    <w:rsid w:val="00AC7419"/>
    <w:rsid w:val="00AC75B6"/>
    <w:rsid w:val="00AD0833"/>
    <w:rsid w:val="00AD0F96"/>
    <w:rsid w:val="00AD1990"/>
    <w:rsid w:val="00AD4B45"/>
    <w:rsid w:val="00AD5066"/>
    <w:rsid w:val="00AD64C7"/>
    <w:rsid w:val="00AD6525"/>
    <w:rsid w:val="00AD7103"/>
    <w:rsid w:val="00AD714A"/>
    <w:rsid w:val="00AE4062"/>
    <w:rsid w:val="00AE7D78"/>
    <w:rsid w:val="00AE7DEF"/>
    <w:rsid w:val="00AF2481"/>
    <w:rsid w:val="00AF63CB"/>
    <w:rsid w:val="00AF69C8"/>
    <w:rsid w:val="00AF7925"/>
    <w:rsid w:val="00AF7BB5"/>
    <w:rsid w:val="00AF7C22"/>
    <w:rsid w:val="00B01845"/>
    <w:rsid w:val="00B03486"/>
    <w:rsid w:val="00B04DF9"/>
    <w:rsid w:val="00B0769E"/>
    <w:rsid w:val="00B132D1"/>
    <w:rsid w:val="00B13795"/>
    <w:rsid w:val="00B14693"/>
    <w:rsid w:val="00B14C68"/>
    <w:rsid w:val="00B14E6A"/>
    <w:rsid w:val="00B165E8"/>
    <w:rsid w:val="00B1707E"/>
    <w:rsid w:val="00B17DD7"/>
    <w:rsid w:val="00B20C9E"/>
    <w:rsid w:val="00B21098"/>
    <w:rsid w:val="00B22AA2"/>
    <w:rsid w:val="00B23E20"/>
    <w:rsid w:val="00B2538E"/>
    <w:rsid w:val="00B26746"/>
    <w:rsid w:val="00B316B8"/>
    <w:rsid w:val="00B340F4"/>
    <w:rsid w:val="00B34113"/>
    <w:rsid w:val="00B36EE1"/>
    <w:rsid w:val="00B41296"/>
    <w:rsid w:val="00B41EA0"/>
    <w:rsid w:val="00B42DB3"/>
    <w:rsid w:val="00B45E88"/>
    <w:rsid w:val="00B47534"/>
    <w:rsid w:val="00B5071D"/>
    <w:rsid w:val="00B5373A"/>
    <w:rsid w:val="00B578DA"/>
    <w:rsid w:val="00B63065"/>
    <w:rsid w:val="00B66D1B"/>
    <w:rsid w:val="00B73226"/>
    <w:rsid w:val="00B742EA"/>
    <w:rsid w:val="00B7529D"/>
    <w:rsid w:val="00B8023D"/>
    <w:rsid w:val="00B83B43"/>
    <w:rsid w:val="00B84F4B"/>
    <w:rsid w:val="00B8563A"/>
    <w:rsid w:val="00B8747F"/>
    <w:rsid w:val="00B90A7E"/>
    <w:rsid w:val="00B91DA2"/>
    <w:rsid w:val="00B94114"/>
    <w:rsid w:val="00B95A8E"/>
    <w:rsid w:val="00B96D63"/>
    <w:rsid w:val="00BA0BAB"/>
    <w:rsid w:val="00BA14D1"/>
    <w:rsid w:val="00BB56ED"/>
    <w:rsid w:val="00BB6053"/>
    <w:rsid w:val="00BB6E1D"/>
    <w:rsid w:val="00BC246D"/>
    <w:rsid w:val="00BC2EE3"/>
    <w:rsid w:val="00BC3727"/>
    <w:rsid w:val="00BC3C4E"/>
    <w:rsid w:val="00BC4562"/>
    <w:rsid w:val="00BC5065"/>
    <w:rsid w:val="00BC67AB"/>
    <w:rsid w:val="00BC6B65"/>
    <w:rsid w:val="00BC7AC0"/>
    <w:rsid w:val="00BD19CD"/>
    <w:rsid w:val="00BD5032"/>
    <w:rsid w:val="00BD6009"/>
    <w:rsid w:val="00BD615A"/>
    <w:rsid w:val="00BD7754"/>
    <w:rsid w:val="00BE0055"/>
    <w:rsid w:val="00BE5A13"/>
    <w:rsid w:val="00BE75EE"/>
    <w:rsid w:val="00BF013B"/>
    <w:rsid w:val="00BF219C"/>
    <w:rsid w:val="00BF2A7C"/>
    <w:rsid w:val="00BF2F50"/>
    <w:rsid w:val="00BF302A"/>
    <w:rsid w:val="00BF30F8"/>
    <w:rsid w:val="00BF4381"/>
    <w:rsid w:val="00BF5C84"/>
    <w:rsid w:val="00BF5F54"/>
    <w:rsid w:val="00BF5F67"/>
    <w:rsid w:val="00C00280"/>
    <w:rsid w:val="00C0272D"/>
    <w:rsid w:val="00C04646"/>
    <w:rsid w:val="00C111D8"/>
    <w:rsid w:val="00C1155A"/>
    <w:rsid w:val="00C16EC8"/>
    <w:rsid w:val="00C17E69"/>
    <w:rsid w:val="00C22353"/>
    <w:rsid w:val="00C23052"/>
    <w:rsid w:val="00C3067A"/>
    <w:rsid w:val="00C313F6"/>
    <w:rsid w:val="00C31476"/>
    <w:rsid w:val="00C34B30"/>
    <w:rsid w:val="00C34E71"/>
    <w:rsid w:val="00C352C8"/>
    <w:rsid w:val="00C376B7"/>
    <w:rsid w:val="00C4089D"/>
    <w:rsid w:val="00C4622D"/>
    <w:rsid w:val="00C46FF7"/>
    <w:rsid w:val="00C470A8"/>
    <w:rsid w:val="00C4733F"/>
    <w:rsid w:val="00C5113F"/>
    <w:rsid w:val="00C52809"/>
    <w:rsid w:val="00C52EC3"/>
    <w:rsid w:val="00C53D6A"/>
    <w:rsid w:val="00C5656C"/>
    <w:rsid w:val="00C631B4"/>
    <w:rsid w:val="00C645AB"/>
    <w:rsid w:val="00C67CD4"/>
    <w:rsid w:val="00C67E76"/>
    <w:rsid w:val="00C71EA4"/>
    <w:rsid w:val="00C727BE"/>
    <w:rsid w:val="00C72FD4"/>
    <w:rsid w:val="00C75BB3"/>
    <w:rsid w:val="00C76E9F"/>
    <w:rsid w:val="00C7709B"/>
    <w:rsid w:val="00C81431"/>
    <w:rsid w:val="00C83513"/>
    <w:rsid w:val="00C8368F"/>
    <w:rsid w:val="00C859CC"/>
    <w:rsid w:val="00C85C01"/>
    <w:rsid w:val="00C86067"/>
    <w:rsid w:val="00C8664E"/>
    <w:rsid w:val="00C91F1B"/>
    <w:rsid w:val="00C93EDF"/>
    <w:rsid w:val="00C94242"/>
    <w:rsid w:val="00C94A0E"/>
    <w:rsid w:val="00C95CF9"/>
    <w:rsid w:val="00C97CB3"/>
    <w:rsid w:val="00CA031E"/>
    <w:rsid w:val="00CA3895"/>
    <w:rsid w:val="00CA4A2B"/>
    <w:rsid w:val="00CA6FA6"/>
    <w:rsid w:val="00CA717C"/>
    <w:rsid w:val="00CA7521"/>
    <w:rsid w:val="00CA75FC"/>
    <w:rsid w:val="00CA794F"/>
    <w:rsid w:val="00CA7FFE"/>
    <w:rsid w:val="00CB231A"/>
    <w:rsid w:val="00CB49AB"/>
    <w:rsid w:val="00CB52DC"/>
    <w:rsid w:val="00CB6867"/>
    <w:rsid w:val="00CB7DBF"/>
    <w:rsid w:val="00CB7FD1"/>
    <w:rsid w:val="00CC183C"/>
    <w:rsid w:val="00CC37CF"/>
    <w:rsid w:val="00CD274F"/>
    <w:rsid w:val="00CD5495"/>
    <w:rsid w:val="00CD686F"/>
    <w:rsid w:val="00CD6ADF"/>
    <w:rsid w:val="00CD6E30"/>
    <w:rsid w:val="00CD760C"/>
    <w:rsid w:val="00CE1313"/>
    <w:rsid w:val="00CF0158"/>
    <w:rsid w:val="00CF0350"/>
    <w:rsid w:val="00CF05CE"/>
    <w:rsid w:val="00CF09F5"/>
    <w:rsid w:val="00CF1D8B"/>
    <w:rsid w:val="00CF315B"/>
    <w:rsid w:val="00CF7522"/>
    <w:rsid w:val="00D01E28"/>
    <w:rsid w:val="00D01E44"/>
    <w:rsid w:val="00D02D65"/>
    <w:rsid w:val="00D046E3"/>
    <w:rsid w:val="00D06584"/>
    <w:rsid w:val="00D07845"/>
    <w:rsid w:val="00D078E5"/>
    <w:rsid w:val="00D106D1"/>
    <w:rsid w:val="00D156FF"/>
    <w:rsid w:val="00D15F9F"/>
    <w:rsid w:val="00D227D8"/>
    <w:rsid w:val="00D22944"/>
    <w:rsid w:val="00D236A7"/>
    <w:rsid w:val="00D24AD4"/>
    <w:rsid w:val="00D263DB"/>
    <w:rsid w:val="00D27AAB"/>
    <w:rsid w:val="00D303C2"/>
    <w:rsid w:val="00D325CA"/>
    <w:rsid w:val="00D3309A"/>
    <w:rsid w:val="00D33C58"/>
    <w:rsid w:val="00D37063"/>
    <w:rsid w:val="00D372F7"/>
    <w:rsid w:val="00D377AC"/>
    <w:rsid w:val="00D41E9C"/>
    <w:rsid w:val="00D47A4C"/>
    <w:rsid w:val="00D50FCF"/>
    <w:rsid w:val="00D52A16"/>
    <w:rsid w:val="00D543C8"/>
    <w:rsid w:val="00D60251"/>
    <w:rsid w:val="00D6138C"/>
    <w:rsid w:val="00D62159"/>
    <w:rsid w:val="00D6234E"/>
    <w:rsid w:val="00D6347B"/>
    <w:rsid w:val="00D6385A"/>
    <w:rsid w:val="00D64094"/>
    <w:rsid w:val="00D67157"/>
    <w:rsid w:val="00D744DA"/>
    <w:rsid w:val="00D760AD"/>
    <w:rsid w:val="00D81820"/>
    <w:rsid w:val="00D81B07"/>
    <w:rsid w:val="00D82B6F"/>
    <w:rsid w:val="00D83B94"/>
    <w:rsid w:val="00D83C1E"/>
    <w:rsid w:val="00D85966"/>
    <w:rsid w:val="00D8610D"/>
    <w:rsid w:val="00D8661D"/>
    <w:rsid w:val="00D918E7"/>
    <w:rsid w:val="00D928A2"/>
    <w:rsid w:val="00D9429C"/>
    <w:rsid w:val="00D94509"/>
    <w:rsid w:val="00D9486D"/>
    <w:rsid w:val="00D94DE5"/>
    <w:rsid w:val="00D95AAA"/>
    <w:rsid w:val="00D9608D"/>
    <w:rsid w:val="00DA046D"/>
    <w:rsid w:val="00DA0E47"/>
    <w:rsid w:val="00DA17E4"/>
    <w:rsid w:val="00DA6119"/>
    <w:rsid w:val="00DB0478"/>
    <w:rsid w:val="00DB066D"/>
    <w:rsid w:val="00DB1803"/>
    <w:rsid w:val="00DB1A12"/>
    <w:rsid w:val="00DB2EF1"/>
    <w:rsid w:val="00DB3D1F"/>
    <w:rsid w:val="00DB5A94"/>
    <w:rsid w:val="00DB7014"/>
    <w:rsid w:val="00DB7070"/>
    <w:rsid w:val="00DC0F0C"/>
    <w:rsid w:val="00DC1971"/>
    <w:rsid w:val="00DC2143"/>
    <w:rsid w:val="00DC4867"/>
    <w:rsid w:val="00DC5C0D"/>
    <w:rsid w:val="00DC628E"/>
    <w:rsid w:val="00DC7418"/>
    <w:rsid w:val="00DD16B3"/>
    <w:rsid w:val="00DD39D3"/>
    <w:rsid w:val="00DD65CF"/>
    <w:rsid w:val="00DD73CD"/>
    <w:rsid w:val="00DE011D"/>
    <w:rsid w:val="00DE1F74"/>
    <w:rsid w:val="00DE6D80"/>
    <w:rsid w:val="00DE70BC"/>
    <w:rsid w:val="00DF103F"/>
    <w:rsid w:val="00DF3730"/>
    <w:rsid w:val="00DF538A"/>
    <w:rsid w:val="00DF5CD2"/>
    <w:rsid w:val="00DF5F46"/>
    <w:rsid w:val="00DF6C58"/>
    <w:rsid w:val="00DF7E5D"/>
    <w:rsid w:val="00E01D55"/>
    <w:rsid w:val="00E0217A"/>
    <w:rsid w:val="00E03C0B"/>
    <w:rsid w:val="00E04E80"/>
    <w:rsid w:val="00E05AA2"/>
    <w:rsid w:val="00E067E5"/>
    <w:rsid w:val="00E07D2F"/>
    <w:rsid w:val="00E1311D"/>
    <w:rsid w:val="00E16298"/>
    <w:rsid w:val="00E20B2E"/>
    <w:rsid w:val="00E23947"/>
    <w:rsid w:val="00E2707A"/>
    <w:rsid w:val="00E30749"/>
    <w:rsid w:val="00E30D9F"/>
    <w:rsid w:val="00E31783"/>
    <w:rsid w:val="00E32D0E"/>
    <w:rsid w:val="00E33180"/>
    <w:rsid w:val="00E34255"/>
    <w:rsid w:val="00E34C56"/>
    <w:rsid w:val="00E40604"/>
    <w:rsid w:val="00E419D2"/>
    <w:rsid w:val="00E41F1A"/>
    <w:rsid w:val="00E422C5"/>
    <w:rsid w:val="00E4324A"/>
    <w:rsid w:val="00E4372B"/>
    <w:rsid w:val="00E43D1F"/>
    <w:rsid w:val="00E45BFD"/>
    <w:rsid w:val="00E478E7"/>
    <w:rsid w:val="00E527E8"/>
    <w:rsid w:val="00E601F6"/>
    <w:rsid w:val="00E63134"/>
    <w:rsid w:val="00E70B30"/>
    <w:rsid w:val="00E7224D"/>
    <w:rsid w:val="00E73151"/>
    <w:rsid w:val="00E7336E"/>
    <w:rsid w:val="00E74AF8"/>
    <w:rsid w:val="00E7551C"/>
    <w:rsid w:val="00E76EFE"/>
    <w:rsid w:val="00E91A60"/>
    <w:rsid w:val="00E93A6F"/>
    <w:rsid w:val="00E948B8"/>
    <w:rsid w:val="00E9661A"/>
    <w:rsid w:val="00E96A62"/>
    <w:rsid w:val="00EA050D"/>
    <w:rsid w:val="00EA3C55"/>
    <w:rsid w:val="00EA502E"/>
    <w:rsid w:val="00EA53B9"/>
    <w:rsid w:val="00EA61AE"/>
    <w:rsid w:val="00EA6243"/>
    <w:rsid w:val="00EA727C"/>
    <w:rsid w:val="00EA7631"/>
    <w:rsid w:val="00EB1E8A"/>
    <w:rsid w:val="00EB2E97"/>
    <w:rsid w:val="00EB410F"/>
    <w:rsid w:val="00EB666B"/>
    <w:rsid w:val="00EB7A70"/>
    <w:rsid w:val="00EB7E9E"/>
    <w:rsid w:val="00EC2B6B"/>
    <w:rsid w:val="00EC4D27"/>
    <w:rsid w:val="00EC705D"/>
    <w:rsid w:val="00EC74B2"/>
    <w:rsid w:val="00EC7A1D"/>
    <w:rsid w:val="00ED0BCA"/>
    <w:rsid w:val="00ED13B1"/>
    <w:rsid w:val="00ED2EC4"/>
    <w:rsid w:val="00ED5F11"/>
    <w:rsid w:val="00EE03F0"/>
    <w:rsid w:val="00EE0704"/>
    <w:rsid w:val="00EE0CF1"/>
    <w:rsid w:val="00EE17C4"/>
    <w:rsid w:val="00EE33CC"/>
    <w:rsid w:val="00EE4B9C"/>
    <w:rsid w:val="00EF0D85"/>
    <w:rsid w:val="00EF2C0B"/>
    <w:rsid w:val="00EF32FD"/>
    <w:rsid w:val="00EF350A"/>
    <w:rsid w:val="00EF4702"/>
    <w:rsid w:val="00EF52C3"/>
    <w:rsid w:val="00EF5561"/>
    <w:rsid w:val="00EF57D2"/>
    <w:rsid w:val="00EF60AF"/>
    <w:rsid w:val="00EF620B"/>
    <w:rsid w:val="00EF7BBE"/>
    <w:rsid w:val="00F0109E"/>
    <w:rsid w:val="00F05563"/>
    <w:rsid w:val="00F05FFD"/>
    <w:rsid w:val="00F071AC"/>
    <w:rsid w:val="00F10C52"/>
    <w:rsid w:val="00F10F46"/>
    <w:rsid w:val="00F11654"/>
    <w:rsid w:val="00F12201"/>
    <w:rsid w:val="00F15BD8"/>
    <w:rsid w:val="00F167CD"/>
    <w:rsid w:val="00F17761"/>
    <w:rsid w:val="00F22310"/>
    <w:rsid w:val="00F255D2"/>
    <w:rsid w:val="00F2748A"/>
    <w:rsid w:val="00F27892"/>
    <w:rsid w:val="00F30675"/>
    <w:rsid w:val="00F32119"/>
    <w:rsid w:val="00F359EB"/>
    <w:rsid w:val="00F362B4"/>
    <w:rsid w:val="00F41C7F"/>
    <w:rsid w:val="00F42EBF"/>
    <w:rsid w:val="00F4331B"/>
    <w:rsid w:val="00F444AE"/>
    <w:rsid w:val="00F45329"/>
    <w:rsid w:val="00F513A3"/>
    <w:rsid w:val="00F52EC3"/>
    <w:rsid w:val="00F566A6"/>
    <w:rsid w:val="00F61462"/>
    <w:rsid w:val="00F618CF"/>
    <w:rsid w:val="00F62E94"/>
    <w:rsid w:val="00F63209"/>
    <w:rsid w:val="00F635B6"/>
    <w:rsid w:val="00F63942"/>
    <w:rsid w:val="00F67EEC"/>
    <w:rsid w:val="00F70A9D"/>
    <w:rsid w:val="00F711BB"/>
    <w:rsid w:val="00F75505"/>
    <w:rsid w:val="00F76C83"/>
    <w:rsid w:val="00F778B4"/>
    <w:rsid w:val="00F816DA"/>
    <w:rsid w:val="00F82FF1"/>
    <w:rsid w:val="00F84411"/>
    <w:rsid w:val="00F856FA"/>
    <w:rsid w:val="00F85915"/>
    <w:rsid w:val="00F92F0F"/>
    <w:rsid w:val="00F942DB"/>
    <w:rsid w:val="00FA0167"/>
    <w:rsid w:val="00FA1A01"/>
    <w:rsid w:val="00FA1C5A"/>
    <w:rsid w:val="00FA2762"/>
    <w:rsid w:val="00FA27BE"/>
    <w:rsid w:val="00FA3894"/>
    <w:rsid w:val="00FA59D7"/>
    <w:rsid w:val="00FA633D"/>
    <w:rsid w:val="00FA72BA"/>
    <w:rsid w:val="00FA789C"/>
    <w:rsid w:val="00FB5B30"/>
    <w:rsid w:val="00FB5E79"/>
    <w:rsid w:val="00FB5EDE"/>
    <w:rsid w:val="00FB7769"/>
    <w:rsid w:val="00FC2A20"/>
    <w:rsid w:val="00FC406C"/>
    <w:rsid w:val="00FC547F"/>
    <w:rsid w:val="00FC63F0"/>
    <w:rsid w:val="00FC721C"/>
    <w:rsid w:val="00FC7F09"/>
    <w:rsid w:val="00FD154D"/>
    <w:rsid w:val="00FD2951"/>
    <w:rsid w:val="00FD3004"/>
    <w:rsid w:val="00FD41CF"/>
    <w:rsid w:val="00FD44C0"/>
    <w:rsid w:val="00FD47EA"/>
    <w:rsid w:val="00FD4B65"/>
    <w:rsid w:val="00FD60BE"/>
    <w:rsid w:val="00FD69B4"/>
    <w:rsid w:val="00FE27B3"/>
    <w:rsid w:val="00FE3EAE"/>
    <w:rsid w:val="00FF0A08"/>
    <w:rsid w:val="00FF0E28"/>
    <w:rsid w:val="00FF1105"/>
    <w:rsid w:val="00FF1B6C"/>
    <w:rsid w:val="00FF1B86"/>
    <w:rsid w:val="00FF3AA3"/>
    <w:rsid w:val="00FF619C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795"/>
    <w:pPr>
      <w:spacing w:before="160" w:after="160" w:line="276" w:lineRule="auto"/>
      <w:jc w:val="both"/>
    </w:pPr>
    <w:rPr>
      <w:rFonts w:ascii="Corbel" w:eastAsia="Corbel" w:hAnsi="Corbel"/>
      <w:lang w:val="en-US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6527E1"/>
    <w:pPr>
      <w:spacing w:after="0" w:line="240" w:lineRule="auto"/>
      <w:outlineLvl w:val="0"/>
    </w:pPr>
    <w:rPr>
      <w:rFonts w:ascii="Arial" w:hAnsi="Arial"/>
      <w:color w:val="4F81BD" w:themeColor="accent1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CC183C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Arial" w:hAnsi="Arial"/>
      <w:color w:val="4F81BD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0B6E25"/>
    <w:pPr>
      <w:spacing w:after="0" w:line="240" w:lineRule="auto"/>
      <w:outlineLvl w:val="2"/>
    </w:pPr>
    <w:rPr>
      <w:rFonts w:ascii="Trebuchet MS" w:hAnsi="Trebuchet MS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0C16AE"/>
    <w:pPr>
      <w:spacing w:before="120" w:after="120" w:line="240" w:lineRule="auto"/>
      <w:ind w:left="288"/>
      <w:outlineLvl w:val="3"/>
    </w:pPr>
    <w:rPr>
      <w:rFonts w:ascii="Trebuchet MS" w:hAnsi="Trebuchet MS"/>
      <w:caps/>
      <w:color w:val="FFFFF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0C16AE"/>
    <w:pPr>
      <w:spacing w:before="60" w:after="60" w:line="240" w:lineRule="auto"/>
      <w:outlineLvl w:val="4"/>
    </w:pPr>
    <w:rPr>
      <w:rFonts w:ascii="Trebuchet MS" w:hAnsi="Trebuchet MS"/>
      <w:caps/>
      <w:color w:val="F72B1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135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1358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135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13587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uiPriority w:val="9"/>
    <w:rsid w:val="006527E1"/>
    <w:rPr>
      <w:rFonts w:ascii="Arial" w:eastAsia="Corbel" w:hAnsi="Arial"/>
      <w:color w:val="4F81BD" w:themeColor="accent1"/>
      <w:sz w:val="48"/>
      <w:szCs w:val="48"/>
      <w:lang w:val="en-US" w:eastAsia="zh-TW"/>
    </w:rPr>
  </w:style>
  <w:style w:type="character" w:customStyle="1" w:styleId="Ttulo2Car">
    <w:name w:val="Título 2 Car"/>
    <w:link w:val="Ttulo2"/>
    <w:uiPriority w:val="9"/>
    <w:rsid w:val="00CC183C"/>
    <w:rPr>
      <w:rFonts w:ascii="Arial" w:eastAsia="Corbel" w:hAnsi="Arial"/>
      <w:color w:val="4F81BD" w:themeColor="accent1"/>
      <w:sz w:val="28"/>
      <w:szCs w:val="28"/>
      <w:lang w:val="en-US" w:eastAsia="zh-TW"/>
    </w:rPr>
  </w:style>
  <w:style w:type="character" w:customStyle="1" w:styleId="Ttulo3Car">
    <w:name w:val="Título 3 Car"/>
    <w:link w:val="Ttulo3"/>
    <w:uiPriority w:val="9"/>
    <w:rsid w:val="000B6E25"/>
    <w:rPr>
      <w:rFonts w:ascii="Trebuchet MS" w:eastAsia="Corbel" w:hAnsi="Trebuchet MS"/>
      <w:b/>
      <w:sz w:val="24"/>
      <w:szCs w:val="24"/>
      <w:lang w:val="en-US" w:eastAsia="zh-TW"/>
    </w:rPr>
  </w:style>
  <w:style w:type="character" w:customStyle="1" w:styleId="Ttulo4Car">
    <w:name w:val="Título 4 Car"/>
    <w:link w:val="Ttulo4"/>
    <w:uiPriority w:val="9"/>
    <w:rsid w:val="000C16AE"/>
    <w:rPr>
      <w:rFonts w:ascii="Trebuchet MS" w:eastAsia="Corbel" w:hAnsi="Trebuchet MS"/>
      <w:caps/>
      <w:color w:val="FFFFFF"/>
      <w:sz w:val="24"/>
      <w:szCs w:val="24"/>
      <w:lang w:val="en-US" w:eastAsia="zh-TW"/>
    </w:rPr>
  </w:style>
  <w:style w:type="character" w:customStyle="1" w:styleId="Ttulo5Car">
    <w:name w:val="Título 5 Car"/>
    <w:link w:val="Ttulo5"/>
    <w:uiPriority w:val="9"/>
    <w:rsid w:val="000C16AE"/>
    <w:rPr>
      <w:rFonts w:ascii="Trebuchet MS" w:eastAsia="Corbel" w:hAnsi="Trebuchet MS"/>
      <w:caps/>
      <w:color w:val="F72B1E"/>
      <w:lang w:val="en-US" w:eastAsia="zh-TW"/>
    </w:rPr>
  </w:style>
  <w:style w:type="paragraph" w:customStyle="1" w:styleId="Normal-SpaceAfter">
    <w:name w:val="Normal - Space After"/>
    <w:basedOn w:val="Normal"/>
    <w:qFormat/>
    <w:rsid w:val="000C16AE"/>
    <w:pPr>
      <w:spacing w:after="1200"/>
    </w:pPr>
    <w:rPr>
      <w:noProof/>
    </w:rPr>
  </w:style>
  <w:style w:type="character" w:styleId="Textoennegrita">
    <w:name w:val="Strong"/>
    <w:uiPriority w:val="1"/>
    <w:qFormat/>
    <w:rsid w:val="000C16AE"/>
    <w:rPr>
      <w:b/>
      <w:bCs/>
      <w:color w:val="595959"/>
    </w:rPr>
  </w:style>
  <w:style w:type="paragraph" w:customStyle="1" w:styleId="Sombreadomedio1-nfasis11">
    <w:name w:val="Sombreado medio 1 - Énfasis 11"/>
    <w:uiPriority w:val="1"/>
    <w:qFormat/>
    <w:rsid w:val="000C16AE"/>
    <w:rPr>
      <w:rFonts w:ascii="Corbel" w:eastAsia="Corbel" w:hAnsi="Corbel"/>
      <w:color w:val="595959"/>
      <w:sz w:val="18"/>
      <w:lang w:val="en-US" w:eastAsia="zh-TW"/>
    </w:rPr>
  </w:style>
  <w:style w:type="paragraph" w:customStyle="1" w:styleId="SidebarText">
    <w:name w:val="Sidebar Text"/>
    <w:basedOn w:val="Normal"/>
    <w:qFormat/>
    <w:rsid w:val="000C16AE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aconvietas">
    <w:name w:val="List Bullet"/>
    <w:basedOn w:val="Normal"/>
    <w:rsid w:val="000C16AE"/>
    <w:pPr>
      <w:numPr>
        <w:numId w:val="1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rsid w:val="000C16AE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TableText">
    <w:name w:val="Table Text"/>
    <w:basedOn w:val="Normal"/>
    <w:qFormat/>
    <w:rsid w:val="000C16AE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C16AE"/>
    <w:pPr>
      <w:spacing w:before="40" w:after="40" w:line="240" w:lineRule="auto"/>
    </w:pPr>
    <w:rPr>
      <w:rFonts w:ascii="Trebuchet MS" w:hAnsi="Trebuchet MS"/>
      <w:caps/>
      <w:color w:val="7F7F7F"/>
      <w:sz w:val="16"/>
      <w:szCs w:val="16"/>
    </w:rPr>
  </w:style>
  <w:style w:type="character" w:styleId="Hipervnculo">
    <w:name w:val="Hyperlink"/>
    <w:uiPriority w:val="99"/>
    <w:unhideWhenUsed/>
    <w:rsid w:val="000C16AE"/>
    <w:rPr>
      <w:color w:val="C00000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36D24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rFonts w:ascii="Trebuchet MS" w:hAnsi="Trebuchet MS"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C16AE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C16AE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Encabezadodetabladecontenido">
    <w:name w:val="Encabezado de tabla de contenido"/>
    <w:basedOn w:val="Normal"/>
    <w:next w:val="Normal"/>
    <w:uiPriority w:val="39"/>
    <w:qFormat/>
    <w:rsid w:val="00636D24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rFonts w:ascii="Trebuchet MS" w:hAnsi="Trebuchet MS"/>
      <w:caps/>
      <w:color w:val="4F81BD" w:themeColor="accent1"/>
      <w:sz w:val="28"/>
      <w:szCs w:val="28"/>
    </w:rPr>
  </w:style>
  <w:style w:type="paragraph" w:customStyle="1" w:styleId="TableText-Center">
    <w:name w:val="Table Text - Center"/>
    <w:basedOn w:val="TableText"/>
    <w:qFormat/>
    <w:rsid w:val="000C16AE"/>
    <w:pPr>
      <w:jc w:val="center"/>
    </w:pPr>
  </w:style>
  <w:style w:type="paragraph" w:styleId="Textodeglobo">
    <w:name w:val="Balloon Text"/>
    <w:basedOn w:val="Normal"/>
    <w:link w:val="TextodegloboCar"/>
    <w:rsid w:val="000C16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16AE"/>
    <w:rPr>
      <w:rFonts w:ascii="Tahoma" w:eastAsia="Corbel" w:hAnsi="Tahoma" w:cs="Tahoma"/>
      <w:sz w:val="16"/>
      <w:szCs w:val="16"/>
      <w:lang w:val="en-US" w:eastAsia="zh-TW"/>
    </w:rPr>
  </w:style>
  <w:style w:type="character" w:styleId="Nmerodepgina">
    <w:name w:val="page number"/>
    <w:uiPriority w:val="1"/>
    <w:rsid w:val="000C16AE"/>
    <w:rPr>
      <w:rFonts w:ascii="Trebuchet MS" w:hAnsi="Trebuchet MS"/>
      <w:color w:val="F72B1E"/>
      <w:sz w:val="20"/>
    </w:rPr>
  </w:style>
  <w:style w:type="paragraph" w:customStyle="1" w:styleId="ReportName">
    <w:name w:val="Report Name"/>
    <w:basedOn w:val="Normal"/>
    <w:qFormat/>
    <w:rsid w:val="000C16AE"/>
    <w:pPr>
      <w:spacing w:before="0" w:after="40" w:line="240" w:lineRule="auto"/>
      <w:jc w:val="right"/>
    </w:pPr>
    <w:rPr>
      <w:rFonts w:ascii="Trebuchet MS" w:hAnsi="Trebuchet MS"/>
      <w:color w:val="404040"/>
    </w:rPr>
  </w:style>
  <w:style w:type="character" w:styleId="nfasis">
    <w:name w:val="Emphasis"/>
    <w:uiPriority w:val="20"/>
    <w:qFormat/>
    <w:rsid w:val="00480B90"/>
    <w:rPr>
      <w:i/>
      <w:iCs/>
    </w:rPr>
  </w:style>
  <w:style w:type="paragraph" w:styleId="ndice1">
    <w:name w:val="index 1"/>
    <w:basedOn w:val="Normal"/>
    <w:next w:val="Normal"/>
    <w:autoRedefine/>
    <w:rsid w:val="00A32466"/>
    <w:pPr>
      <w:spacing w:before="0" w:after="0"/>
      <w:ind w:left="200" w:hanging="200"/>
    </w:pPr>
    <w:rPr>
      <w:rFonts w:ascii="Calibri" w:hAnsi="Calibri"/>
      <w:sz w:val="18"/>
      <w:szCs w:val="18"/>
    </w:rPr>
  </w:style>
  <w:style w:type="paragraph" w:styleId="ndice2">
    <w:name w:val="index 2"/>
    <w:basedOn w:val="Normal"/>
    <w:next w:val="Normal"/>
    <w:autoRedefine/>
    <w:rsid w:val="00A32466"/>
    <w:pPr>
      <w:spacing w:before="0" w:after="0"/>
      <w:ind w:left="400" w:hanging="200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rsid w:val="00A32466"/>
    <w:pPr>
      <w:spacing w:before="0" w:after="0"/>
      <w:ind w:left="600" w:hanging="200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rsid w:val="00A32466"/>
    <w:pPr>
      <w:spacing w:before="0" w:after="0"/>
      <w:ind w:left="800" w:hanging="200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rsid w:val="00A32466"/>
    <w:pPr>
      <w:spacing w:before="0" w:after="0"/>
      <w:ind w:left="1000" w:hanging="200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rsid w:val="00A32466"/>
    <w:pPr>
      <w:spacing w:before="0" w:after="0"/>
      <w:ind w:left="1200" w:hanging="200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rsid w:val="00A32466"/>
    <w:pPr>
      <w:spacing w:before="0" w:after="0"/>
      <w:ind w:left="1400" w:hanging="200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rsid w:val="00A32466"/>
    <w:pPr>
      <w:spacing w:before="0" w:after="0"/>
      <w:ind w:left="1600" w:hanging="200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rsid w:val="00A32466"/>
    <w:pPr>
      <w:spacing w:before="0" w:after="0"/>
      <w:ind w:left="1800" w:hanging="200"/>
    </w:pPr>
    <w:rPr>
      <w:rFonts w:ascii="Calibri" w:hAnsi="Calibri"/>
      <w:sz w:val="18"/>
      <w:szCs w:val="18"/>
    </w:rPr>
  </w:style>
  <w:style w:type="paragraph" w:styleId="Ttulodendice">
    <w:name w:val="index heading"/>
    <w:basedOn w:val="Normal"/>
    <w:next w:val="ndice1"/>
    <w:rsid w:val="00A32466"/>
    <w:pPr>
      <w:spacing w:before="240" w:after="120"/>
      <w:jc w:val="center"/>
    </w:pPr>
    <w:rPr>
      <w:rFonts w:ascii="Calibri" w:hAnsi="Calibri"/>
      <w:b/>
      <w:bCs/>
      <w:sz w:val="26"/>
      <w:szCs w:val="26"/>
    </w:rPr>
  </w:style>
  <w:style w:type="table" w:styleId="Tablaconcuadrcula">
    <w:name w:val="Table Grid"/>
    <w:basedOn w:val="Tablanormal"/>
    <w:rsid w:val="00170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4AD4"/>
    <w:pPr>
      <w:spacing w:before="0"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decuadrcula5oscura-nfasis1">
    <w:name w:val="Grid Table 5 Dark Accent 1"/>
    <w:basedOn w:val="Tablanormal"/>
    <w:uiPriority w:val="50"/>
    <w:rsid w:val="00D24AD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6423B6"/>
  </w:style>
  <w:style w:type="paragraph" w:styleId="TtuloTDC">
    <w:name w:val="TOC Heading"/>
    <w:basedOn w:val="Ttulo1"/>
    <w:next w:val="Normal"/>
    <w:uiPriority w:val="39"/>
    <w:unhideWhenUsed/>
    <w:qFormat/>
    <w:rsid w:val="006527E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Textonotapie">
    <w:name w:val="footnote text"/>
    <w:basedOn w:val="Normal"/>
    <w:link w:val="TextonotapieCar"/>
    <w:uiPriority w:val="9"/>
    <w:semiHidden/>
    <w:unhideWhenUsed/>
    <w:qFormat/>
    <w:rsid w:val="00115A9D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"/>
    <w:semiHidden/>
    <w:rsid w:val="00115A9D"/>
    <w:rPr>
      <w:rFonts w:ascii="Corbel" w:eastAsia="Corbel" w:hAnsi="Corbel"/>
      <w:lang w:val="en-US" w:eastAsia="zh-TW"/>
    </w:rPr>
  </w:style>
  <w:style w:type="character" w:styleId="Refdenotaalpie">
    <w:name w:val="footnote reference"/>
    <w:basedOn w:val="Fuentedeprrafopredeter"/>
    <w:semiHidden/>
    <w:unhideWhenUsed/>
    <w:rsid w:val="00115A9D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04D11"/>
    <w:rPr>
      <w:color w:val="808080"/>
    </w:rPr>
  </w:style>
  <w:style w:type="paragraph" w:customStyle="1" w:styleId="Textito">
    <w:name w:val="Textito"/>
    <w:basedOn w:val="Normal"/>
    <w:qFormat/>
    <w:rsid w:val="00DC628E"/>
    <w:pPr>
      <w:spacing w:before="120" w:after="280" w:line="259" w:lineRule="auto"/>
    </w:pPr>
    <w:rPr>
      <w:rFonts w:ascii="Arial" w:eastAsiaTheme="minorHAnsi" w:hAnsi="Arial" w:cstheme="minorBidi"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8E0EB0"/>
    <w:pPr>
      <w:spacing w:before="180" w:after="180" w:line="240" w:lineRule="auto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E0EB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8E0EB0"/>
  </w:style>
  <w:style w:type="table" w:styleId="Tabladecuadrcula1clara-nfasis5">
    <w:name w:val="Grid Table 1 Light Accent 5"/>
    <w:basedOn w:val="Tablanormal"/>
    <w:uiPriority w:val="46"/>
    <w:rsid w:val="002A5F5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semiHidden/>
    <w:unhideWhenUsed/>
    <w:rsid w:val="00CF315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F315B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CF315B"/>
    <w:rPr>
      <w:rFonts w:ascii="Corbel" w:eastAsia="Corbel" w:hAnsi="Corbel"/>
      <w:lang w:val="en-US" w:eastAsia="zh-TW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F3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F315B"/>
    <w:rPr>
      <w:rFonts w:ascii="Corbel" w:eastAsia="Corbel" w:hAnsi="Corbel"/>
      <w:b/>
      <w:bCs/>
      <w:lang w:val="en-US" w:eastAsia="zh-TW"/>
    </w:rPr>
  </w:style>
  <w:style w:type="paragraph" w:styleId="Revisin">
    <w:name w:val="Revision"/>
    <w:hidden/>
    <w:uiPriority w:val="99"/>
    <w:semiHidden/>
    <w:rsid w:val="00F816DA"/>
    <w:rPr>
      <w:rFonts w:ascii="Corbel" w:eastAsia="Corbel" w:hAnsi="Corbel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Mar05</b:Tag>
    <b:SourceType>Book</b:SourceType>
    <b:Guid>{D0943B6B-A964-4DF2-AB69-5350ED0C5F0E}</b:Guid>
    <b:Author>
      <b:Author>
        <b:NameList>
          <b:Person>
            <b:Last>Wilson</b:Last>
            <b:First>Mark</b:First>
          </b:Person>
        </b:NameList>
      </b:Author>
    </b:Author>
    <b:Title>Constructing Measures. An Item Response Approach</b:Title>
    <b:Year>2005</b:Year>
    <b:City>Mahwah, New Jersey</b:City>
    <b:Publisher>Lawrence Erlbaum Associates, Inc., Publishers</b:Publisher>
    <b:RefOrder>8</b:RefOrder>
  </b:Source>
  <b:Source>
    <b:Tag>OEC09</b:Tag>
    <b:SourceType>Book</b:SourceType>
    <b:Guid>{5B634DE3-4F0F-4083-BFDB-EA5C9B2E7B94}</b:Guid>
    <b:Author>
      <b:Author>
        <b:NameList>
          <b:Person>
            <b:Last>OECD</b:Last>
          </b:Person>
        </b:NameList>
      </b:Author>
    </b:Author>
    <b:Title>PISA 2006. Technical Report. Programme for International Student Assessment.</b:Title>
    <b:Year>2009</b:Year>
    <b:City>Paris</b:City>
    <b:Publisher>OECD</b:Publisher>
    <b:RefOrder>3</b:RefOrder>
  </b:Source>
  <b:Source>
    <b:Tag>WuM07</b:Tag>
    <b:SourceType>Book</b:SourceType>
    <b:Guid>{C06F9765-2A9E-47A1-9520-7812AAA6F6B0}</b:Guid>
    <b:Title>ACER ConQuest Version 2: Generalised item response modelling software.</b:Title>
    <b:Year>2007</b:Year>
    <b:Author>
      <b:Author>
        <b:NameList>
          <b:Person>
            <b:Last>Wu</b:Last>
            <b:Middle>L.</b:Middle>
            <b:First>M.</b:First>
          </b:Person>
          <b:Person>
            <b:Last>Adams</b:Last>
            <b:Middle>J.</b:Middle>
            <b:First>R.</b:First>
          </b:Person>
          <b:Person>
            <b:Last>Wilson </b:Last>
            <b:Middle>R.</b:Middle>
            <b:First>M.</b:First>
          </b:Person>
          <b:Person>
            <b:Last>Haldane</b:Last>
            <b:Middle>A.</b:Middle>
            <b:First>S.</b:First>
          </b:Person>
        </b:NameList>
      </b:Author>
    </b:Author>
    <b:City>Camberwell</b:City>
    <b:Publisher>Australian Council for Educational Research</b:Publisher>
    <b:RefOrder>1</b:RefOrder>
  </b:Source>
  <b:Source>
    <b:Tag>Ana16</b:Tag>
    <b:SourceType>InternetSite</b:SourceType>
    <b:Guid>{93CD15C3-69D7-4367-87EB-8A98356FF9A7}</b:Guid>
    <b:Title>An adjustment for Sample Size in DIF Analysis</b:Title>
    <b:URL>http://www.rasch.org/rmt/rmt203e.htm</b:URL>
    <b:YearAccessed>2016</b:YearAccessed>
    <b:MonthAccessed>Abril</b:MonthAccessed>
    <b:DayAccessed>19</b:DayAccessed>
    <b:Author>
      <b:Author>
        <b:Corporate>ETS. Educational Testing Service</b:Corporate>
      </b:Author>
    </b:Author>
    <b:RefOrder>9</b:RefOrder>
  </b:Source>
  <b:Source>
    <b:Tag>Ada15</b:Tag>
    <b:SourceType>Book</b:SourceType>
    <b:Guid>{0FF52935-DCB0-46E0-B2F0-7FE0D66EA9A7}</b:Guid>
    <b:Title>Acer ConQuest: Generalised Item Response Modelling Software</b:Title>
    <b:Year>2015</b:Year>
    <b:City>[Computer software]. Version 4. Camberwell, Victoria</b:City>
    <b:Publisher>Australian Council for Educational Research</b:Publisher>
    <b:Author>
      <b:Author>
        <b:NameList>
          <b:Person>
            <b:Last>Adams</b:Last>
            <b:First>R. J.</b:First>
          </b:Person>
          <b:Person>
            <b:Last>Wu</b:Last>
            <b:First>M. L.</b:First>
          </b:Person>
          <b:Person>
            <b:Last>Wilson</b:Last>
            <b:First>M. R.</b:First>
          </b:Person>
        </b:NameList>
      </b:Author>
    </b:Author>
    <b:RefOrder>2</b:RefOrder>
  </b:Source>
  <b:Source>
    <b:Tag>Dim12</b:Tag>
    <b:SourceType>Book</b:SourceType>
    <b:Guid>{9491F526-5077-4500-A6EB-738EB8D37FBD}</b:Guid>
    <b:Title>Statistical Methods for Validation of Assessment Scale Data in Counseling and Related FIelds</b:Title>
    <b:Year>2012</b:Year>
    <b:City>Alexandría </b:City>
    <b:Publisher>Wiley</b:Publisher>
    <b:Author>
      <b:Author>
        <b:NameList>
          <b:Person>
            <b:Last>Dimitrov</b:Last>
            <b:Middle>M.</b:Middle>
            <b:First>Dimiter</b:First>
          </b:Person>
        </b:NameList>
      </b:Author>
    </b:Author>
    <b:RefOrder>4</b:RefOrder>
  </b:Source>
  <b:Source>
    <b:Tag>Wil04</b:Tag>
    <b:SourceType>Book</b:SourceType>
    <b:Guid>{527239CD-DEDB-4CBD-8658-D44AA668EB84}</b:Guid>
    <b:Title>Constructing Measures: An Item Response Modeling Approach</b:Title>
    <b:Year>2005</b:Year>
    <b:Author>
      <b:Author>
        <b:NameList>
          <b:Person>
            <b:Last>Wilson</b:Last>
            <b:First>Mark</b:First>
          </b:Person>
        </b:NameList>
      </b:Author>
    </b:Author>
    <b:City>London</b:City>
    <b:Publisher>Lawrence Erlbaum Associates</b:Publisher>
    <b:RefOrder>5</b:RefOrder>
  </b:Source>
  <b:Source>
    <b:Tag>Hai091</b:Tag>
    <b:SourceType>Book</b:SourceType>
    <b:Guid>{188C202F-0F2E-4689-9504-96BB82A85575}</b:Guid>
    <b:Author>
      <b:Author>
        <b:NameList>
          <b:Person>
            <b:Last>Hair</b:Last>
            <b:First>Joseph</b:First>
          </b:Person>
          <b:Person>
            <b:Last>Black</b:Last>
            <b:First>William</b:First>
          </b:Person>
          <b:Person>
            <b:Last>Babin</b:Last>
            <b:First>Barry</b:First>
          </b:Person>
          <b:Person>
            <b:Last>Anderson</b:Last>
            <b:First>Rolph</b:First>
          </b:Person>
        </b:NameList>
      </b:Author>
    </b:Author>
    <b:Title>Mutivariate Data Analysis</b:Title>
    <b:Year>2009</b:Year>
    <b:Publisher>Pearson</b:Publisher>
    <b:Edition>Séptima edición</b:Edition>
    <b:RefOrder>7</b:RefOrder>
  </b:Source>
  <b:Source>
    <b:Tag>Bro15</b:Tag>
    <b:SourceType>Book</b:SourceType>
    <b:Guid>{B2E43738-D4AC-4EBA-A6F8-958D11F428A7}</b:Guid>
    <b:Title>Confirmatory Factor Analysis for Applied Research</b:Title>
    <b:Year>2015</b:Year>
    <b:Author>
      <b:Author>
        <b:NameList>
          <b:Person>
            <b:Last>Brown</b:Last>
            <b:First>Timothy</b:First>
          </b:Person>
        </b:NameList>
      </b:Author>
    </b:Author>
    <b:City>New York </b:City>
    <b:Publisher>The Guilford Press</b:Publisher>
    <b:Edition>Segunda edición</b:Edition>
    <b:RefOrder>6</b:RefOrder>
  </b:Source>
</b:Sources>
</file>

<file path=customXml/itemProps1.xml><?xml version="1.0" encoding="utf-8"?>
<ds:datastoreItem xmlns:ds="http://schemas.openxmlformats.org/officeDocument/2006/customXml" ds:itemID="{36A7888C-D864-401A-8303-765FCE2A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18</Pages>
  <Words>2310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2017-09-04T20:43:00Z</dcterms:created>
  <dcterms:modified xsi:type="dcterms:W3CDTF">2018-06-12T21:42:00Z</dcterms:modified>
</cp:coreProperties>
</file>