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279" w:tblpY="167"/>
        <w:tblW w:w="14850" w:type="dxa"/>
        <w:tblLayout w:type="fixed"/>
        <w:tblLook w:val="04A0" w:firstRow="1" w:lastRow="0" w:firstColumn="1" w:lastColumn="0" w:noHBand="0" w:noVBand="1"/>
      </w:tblPr>
      <w:tblGrid>
        <w:gridCol w:w="562"/>
        <w:gridCol w:w="1545"/>
        <w:gridCol w:w="1418"/>
        <w:gridCol w:w="2552"/>
        <w:gridCol w:w="2268"/>
        <w:gridCol w:w="2977"/>
        <w:gridCol w:w="2394"/>
        <w:gridCol w:w="567"/>
        <w:gridCol w:w="567"/>
      </w:tblGrid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-124"/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Define con sus alumnos reglas de convivencia acordes con la edad, las características de los alumnos, y la perspectiva de género para la no discriminación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con los alumnos normas o acuerdos de convivencia para la no discriminación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los alumnos en la construcción de las normas o acuerdos de convivencia atendiendo a la edad, las características de los alumnos, y la perspectiva de género.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Reglamento del aula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9846A7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</w:t>
            </w:r>
          </w:p>
          <w:p w:rsidR="009846A7" w:rsidRDefault="009846A7" w:rsidP="008721BD">
            <w:pPr>
              <w:rPr>
                <w:sz w:val="16"/>
                <w:szCs w:val="16"/>
              </w:rPr>
            </w:pPr>
          </w:p>
          <w:p w:rsidR="003F6B98" w:rsidRPr="009846A7" w:rsidRDefault="003F6B98" w:rsidP="008721BD">
            <w:pPr>
              <w:rPr>
                <w:sz w:val="16"/>
                <w:szCs w:val="16"/>
              </w:rPr>
            </w:pP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actitudes de compromiso, colaboración y solidaridad para la sana convivencia.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Aplica con la comunidad escolar estrategias para fomentar la sana convivencia.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con la comunidad escolar acciones que promuevan actitudes de compromiso, colaboración o solidaridad en el Marco para la Convivencia Escolar.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Bitácora del docente o técnico docente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observación del director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para la convivencia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convivencia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Establece comunicación con los integrantes de la comunidad escolar para propiciar una sana convivencia en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Participa con los integrantes de la comunidad escolar en el desarrollo de estrategias que propicien una sana convivencia en la escuela.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diversas acciones para favorecer la comunicación con la comunidad escolar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Acuerdos y seguimiento de resultados de la Ruta de Mejora en el ámbito de la sana convivencia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Identifica los rasgos culturales y lingüísticos de la comunidad para desarrollar acciones en la escuela que favorezcan el aprecio por la diversidad.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Distingue los rasgos culturales y lingüísticos de la comunidad para promover el aprecio por la diversidad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identifica a través del diagnóstico rasgos culturales y lingüísticos para realizar acciones que fomenten el aprecio por la diversidad.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 (diagnóstico)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 (diagnóstico)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5.3.2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Realiza acciones con la comunidad escolar para fortalecer la identidad cultural y lingüística de los alumnos con apego a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acciones con la comunidad escolar para fortalecer la identidad cultural  lingüística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participa con la comunidad escolar en actividades que incluyen las características culturales (lengua, costumbres, tradiciones, vestimenta, entre otros) de los alumnos para cumplir con los propósitos educativos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3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4.2.3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con la comunidad escolar que fomenten el respeto por las diferencias individuales asociadas a las condiciones personales, lingüísticas y culturales para favorecer la inclusión y la equidad educativa.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con la comunidad escolar acciones que favorezcan la inclusión y equidad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acciones establecidas en la Ruta de Mejora Escolar que fomentan el respeto por las diferencias individuales para favorecer la inclusión y equidad educativa.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Planeación didáctica 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2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lastRenderedPageBreak/>
              <w:t>4.2.5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pedagógicas para un ambiente escolar sano e inclusivo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Prácticas de inclusión en la comunidad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Implementa estrategias educativas que contribuyen a eliminar o minimizar las barreras para el aprendizaje y la participación que enfrentan los alumnos.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Emplea estrategias para eliminar o minimizar las barreras para el aprendizaje y la participación de los alumnos.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adecuaciones a su planeación con la finalidad de atender las barreras para el aprendizaje y la participación que enfrentan los alumnos.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las disposiciones normativas vigentes que rigen su labor como docente de Educación Primaria.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su labor docente de acuerdo a las disposiciones normativas vigentes.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realiza su práctica con apego a los acuerdos normativos (592 “Articulación de la Educación Básica” y 698 “Evaluación”)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Registro de evaluación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11</w:t>
            </w:r>
          </w:p>
        </w:tc>
      </w:tr>
      <w:tr w:rsidR="003F6B98" w:rsidTr="008721BD">
        <w:trPr>
          <w:trHeight w:val="616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4.1.3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Cumplimiento de la normativa vigente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Aplica la Normalidad Mínima de Operación Escolar en su práctica docente cotidiana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Desarrolla la práctica docente con apego a la Normalidad Mínima de Operación Escolar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asiste todos los días establecidos en el calendario escolar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control de asistencia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Portafolio de evidencias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Productos de la 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Instrumentos de evaluación (del docente)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3F6B98" w:rsidTr="008721BD">
        <w:trPr>
          <w:trHeight w:val="426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inicia sus clases con puntualidad.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688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</w:t>
            </w:r>
            <w:r>
              <w:rPr>
                <w:sz w:val="16"/>
                <w:szCs w:val="16"/>
              </w:rPr>
              <w:t>écnico docente utiliza sistemáticamente los libros de texto disponibles para el logro de los aprendizajes esperados.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El docente o técnico docente utiliza todo el tiempo escolar en actividades par</w:t>
            </w:r>
            <w:r>
              <w:rPr>
                <w:sz w:val="16"/>
                <w:szCs w:val="16"/>
              </w:rPr>
              <w:t>a el aprendizaje de sus alumnos.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realiza actividades que favorecen la participación de todos sus alumnos en el trabajo en clase.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 habilidades de lectura y escritura.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</w:p>
        </w:tc>
      </w:tr>
      <w:tr w:rsidR="003F6B98" w:rsidTr="008721BD">
        <w:trPr>
          <w:trHeight w:val="444"/>
        </w:trPr>
        <w:tc>
          <w:tcPr>
            <w:tcW w:w="562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aplica estrategias que favorecen el desarrollo del pensamiento matemático.</w:t>
            </w:r>
          </w:p>
        </w:tc>
        <w:tc>
          <w:tcPr>
            <w:tcW w:w="2394" w:type="dxa"/>
            <w:vMerge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</w:t>
            </w:r>
          </w:p>
        </w:tc>
        <w:tc>
          <w:tcPr>
            <w:tcW w:w="567" w:type="dxa"/>
          </w:tcPr>
          <w:p w:rsidR="003F6B98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Establece acuerdos y compromisos con las familias de sus alumnos para involucrarlos en la tarea educativa de la escuela.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Construye acuerdos o compromisos con los padres de familia y los integra en la tarea educativa.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acuerdos o compromisos con los padres de familia para que participen en la tarea educativa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 xml:space="preserve">Responsabilidades profesionales para la </w:t>
            </w:r>
            <w:r w:rsidRPr="00602C8E">
              <w:rPr>
                <w:sz w:val="16"/>
                <w:szCs w:val="16"/>
              </w:rPr>
              <w:lastRenderedPageBreak/>
              <w:t>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Vinculación con las familias e instituciones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 con el colectivo docente acciones de vinculación con diversas </w:t>
            </w:r>
            <w:r>
              <w:rPr>
                <w:sz w:val="16"/>
                <w:szCs w:val="16"/>
              </w:rPr>
              <w:lastRenderedPageBreak/>
              <w:t>instituciones que apoyen la tarea educativa de la escuela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Participa en acciones para establecer vínculos de </w:t>
            </w:r>
            <w:r>
              <w:rPr>
                <w:sz w:val="16"/>
                <w:szCs w:val="16"/>
              </w:rPr>
              <w:lastRenderedPageBreak/>
              <w:t xml:space="preserve">colaboración con instituciones que apoyen la tarea educativa. 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El docente o técnico docente desarrolla con el colectivo docente acciones de vinculación con instancias de gobierno, </w:t>
            </w:r>
            <w:r>
              <w:rPr>
                <w:sz w:val="16"/>
                <w:szCs w:val="16"/>
              </w:rPr>
              <w:lastRenderedPageBreak/>
              <w:t>organizaciones no gubernamentales o de la sociedad civil que apoyen la tarea educativa.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Bitácora del Consejo Técnico Escolar</w:t>
            </w:r>
          </w:p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Acta del Consejo Técnico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3F6B98" w:rsidTr="008721BD">
        <w:trPr>
          <w:trHeight w:val="287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5.1.1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el colectivo docente en la elaboración del diagnóstico escolar, para diseñar estrategias que permitan cumplir con los propósitos educativos.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evidencias de los resultados educativos que le permitan elaborar el diagnóstico escolar.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utiliza los resultados educativos de sus alumnos para la conformación del diagnóstico de la escuela.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la fase intensiva del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F6B98" w:rsidTr="008721BD">
        <w:trPr>
          <w:trHeight w:val="287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Diseña con el colectivo docente estrategias de acuerdo al diagnóstico escolar para alcanzar los propósitos educativos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en la fase intensiva del Consejo Técnico Escolar define estrategias de acuerdo al diagnóstico escolar para alcanzar los propósitos educativos.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 w:val="restart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5.1.2</w:t>
            </w:r>
          </w:p>
        </w:tc>
        <w:tc>
          <w:tcPr>
            <w:tcW w:w="1545" w:type="dxa"/>
            <w:vMerge w:val="restart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  <w:vMerge w:val="restart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el Consejo Técnico Escolar en la construcción de propuestas que atiendan la mejora de los aprendizajes, el abandono escolar, la convivencia en la escuela y el cumplimiento de la Normalidad Mínima de Operación Escolar.</w:t>
            </w:r>
          </w:p>
        </w:tc>
        <w:tc>
          <w:tcPr>
            <w:tcW w:w="2268" w:type="dxa"/>
            <w:vMerge w:val="restart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Propone en el Consejo Técnico Escolar acciones para atender las cuatro prioridades del Sistema Básico de Mejora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acciones que favorezcan la mejora de los aprendizajes en el Consejo Técnico Escolar</w:t>
            </w:r>
          </w:p>
        </w:tc>
        <w:tc>
          <w:tcPr>
            <w:tcW w:w="2394" w:type="dxa"/>
            <w:vMerge w:val="restart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 Consejo Técnico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plantea acciones que disminuyen el abandono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propone actividades que promuevan la convivencia escolar en el Consejo Técnico Escolar.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</w:tr>
      <w:tr w:rsidR="003F6B98" w:rsidTr="008721BD">
        <w:trPr>
          <w:trHeight w:val="201"/>
        </w:trPr>
        <w:tc>
          <w:tcPr>
            <w:tcW w:w="562" w:type="dxa"/>
            <w:vMerge/>
          </w:tcPr>
          <w:p w:rsidR="003F6B98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545" w:type="dxa"/>
            <w:vMerge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3F6B98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</w:p>
        </w:tc>
        <w:tc>
          <w:tcPr>
            <w:tcW w:w="2268" w:type="dxa"/>
            <w:vMerge/>
          </w:tcPr>
          <w:p w:rsidR="003F6B98" w:rsidRDefault="003F6B98" w:rsidP="008721BD">
            <w:pPr>
              <w:ind w:right="-112"/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establece estrategias para dar cumplimiento a la Normalidad Mínima de Operación Escolar en el Consejo Técnico Escolar</w:t>
            </w:r>
          </w:p>
        </w:tc>
        <w:tc>
          <w:tcPr>
            <w:tcW w:w="2394" w:type="dxa"/>
            <w:vMerge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atender las áreas de oportunidad de la escuela con el fin de alcanzar sus metas.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la comunidad escolar en acciones que atienden las áreas de oportunidad para lograr las metas escolares.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implementa acciones de intervención con la comunidad escolar con base en las áreas de oportunidad que le permitan alcanzar las metas establecidas en la Ruta de Mejora Escolar.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Ruta de Mejora Escolar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Trabajo colegiado para la mejora escolar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acciones con la comunidad escolar para el cuidado de los espacios, el mobiliario y los materiales escolares.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acciones para el cuidado de los espacios, mobiliario y materiales.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la comunidad escolar en acciones para el cuidado o mantenimiento de los espacios, mobiliario y materiales.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Acuerdos de convivencia escolar.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 del Consejo Escolar de Participación Social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3.1.3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con sus pares en el análisis de su práctica docente con la finalidad de mejorarla.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con otros docentes para reconocer aspectos de mejora de su práctica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en reuniones con sus pares para identificar aspectos de mejora en su desempeño profesional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Actas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la lectura de diferentes tipos de textos como una estrategia de estudio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como estrategia de estudio la lectura de diferentes tipos de texto para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lectura de textos como estrategia de estudio que impactan en su práctica educativa mejorando su desempeño profesional.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3.3.1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 en redes de colaboración para fortalecer su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Colabora en una o más redes educativas para favorecer su desarrollo profesional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participa con otros actores educativos en redes de colaboración académicas para intercambiar experiencias que promuevan el desarrollo profesional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 del Consejo Técnico Escolar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3.3.2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el Consejo Técnico Escolar como un espacio para el aprendizaje y desarrollo profesional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Interviene en el Consejo Técnico Escolar compartiendo experiencias educativas con otros docentes para contribuir al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 w:firstLine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 docente o técnico docente participa en el intercambio de experiencias educativas en el Consejo Técnico Escolar que promueven su aprendizaje y desarrollo profesional. 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Bitácoras del Consejo Técnico Escolar.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3.3.3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materiales impresos y las Tecnologías de la Información y la Comunicación disponibles en su contexto como medios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materiales impresos y/o los recursos de las Tecnologías de la Información y la Comunicación de su contexto para enriquecer su formación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los materiales impresos y/o los recursos de las Tecnologías de la Información y la Comunicación disponibles en su contexto para contribuir a la mejora de su formación profesional.</w:t>
            </w:r>
          </w:p>
        </w:tc>
        <w:tc>
          <w:tcPr>
            <w:tcW w:w="2394" w:type="dxa"/>
          </w:tcPr>
          <w:p w:rsidR="003F6B98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Planeación didáctica.</w:t>
            </w:r>
          </w:p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Formato de evaluación del desempeño docente.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F6B98" w:rsidTr="008721BD">
        <w:tc>
          <w:tcPr>
            <w:tcW w:w="562" w:type="dxa"/>
          </w:tcPr>
          <w:p w:rsidR="003F6B98" w:rsidRPr="00602C8E" w:rsidRDefault="003F6B98" w:rsidP="008721BD">
            <w:pPr>
              <w:tabs>
                <w:tab w:val="left" w:pos="14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3.3.4</w:t>
            </w:r>
          </w:p>
        </w:tc>
        <w:tc>
          <w:tcPr>
            <w:tcW w:w="1545" w:type="dxa"/>
          </w:tcPr>
          <w:p w:rsidR="003F6B98" w:rsidRPr="00602C8E" w:rsidRDefault="003F6B98" w:rsidP="008721BD">
            <w:pPr>
              <w:ind w:right="-105"/>
              <w:rPr>
                <w:sz w:val="16"/>
                <w:szCs w:val="16"/>
              </w:rPr>
            </w:pPr>
            <w:r w:rsidRPr="00602C8E">
              <w:rPr>
                <w:sz w:val="16"/>
                <w:szCs w:val="16"/>
              </w:rPr>
              <w:t>Responsabilidades profesionales para la mejora del trabajo educativo</w:t>
            </w:r>
          </w:p>
        </w:tc>
        <w:tc>
          <w:tcPr>
            <w:tcW w:w="1418" w:type="dxa"/>
          </w:tcPr>
          <w:p w:rsidR="003F6B98" w:rsidRDefault="003F6B98" w:rsidP="008721BD">
            <w:pPr>
              <w:tabs>
                <w:tab w:val="left" w:pos="0"/>
              </w:tabs>
              <w:ind w:right="-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Mejora de la práctica profesional docente</w:t>
            </w:r>
          </w:p>
        </w:tc>
        <w:tc>
          <w:tcPr>
            <w:tcW w:w="2552" w:type="dxa"/>
          </w:tcPr>
          <w:p w:rsidR="003F6B98" w:rsidRPr="00602C8E" w:rsidRDefault="003F6B98" w:rsidP="008721BD">
            <w:pPr>
              <w:tabs>
                <w:tab w:val="left" w:pos="0"/>
              </w:tabs>
              <w:ind w:right="-1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Utiliza los espacios académicos como un medio para fortalecer su desarrollo profesional.</w:t>
            </w:r>
          </w:p>
        </w:tc>
        <w:tc>
          <w:tcPr>
            <w:tcW w:w="2268" w:type="dxa"/>
          </w:tcPr>
          <w:p w:rsidR="003F6B98" w:rsidRPr="00602C8E" w:rsidRDefault="003F6B98" w:rsidP="008721BD">
            <w:pPr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Usa la información que obtiene de los espacios académicos para enriquecer su desarrollo profesional.</w:t>
            </w:r>
          </w:p>
        </w:tc>
        <w:tc>
          <w:tcPr>
            <w:tcW w:w="2977" w:type="dxa"/>
          </w:tcPr>
          <w:p w:rsidR="003F6B98" w:rsidRPr="00602C8E" w:rsidRDefault="003F6B98" w:rsidP="008721BD">
            <w:pPr>
              <w:tabs>
                <w:tab w:val="left" w:pos="142"/>
              </w:tabs>
              <w:ind w:right="-11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docente o técnico docente emplea la información que obtiene de los espacios académicos para fortalecer su formación profesional.</w:t>
            </w:r>
          </w:p>
        </w:tc>
        <w:tc>
          <w:tcPr>
            <w:tcW w:w="2394" w:type="dxa"/>
          </w:tcPr>
          <w:p w:rsidR="003F6B98" w:rsidRPr="00602C8E" w:rsidRDefault="003F6B98" w:rsidP="008721BD">
            <w:pPr>
              <w:tabs>
                <w:tab w:val="left" w:pos="14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Expediente del docente.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3F6B98" w:rsidRPr="00602C8E" w:rsidRDefault="003F6B98" w:rsidP="008721BD">
            <w:pPr>
              <w:tabs>
                <w:tab w:val="left" w:pos="142"/>
              </w:tabs>
              <w:ind w:left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</w:tbl>
    <w:p w:rsidR="002957D5" w:rsidRDefault="002957D5" w:rsidP="00634E51">
      <w:pPr>
        <w:tabs>
          <w:tab w:val="left" w:pos="142"/>
        </w:tabs>
        <w:ind w:left="142"/>
      </w:pPr>
    </w:p>
    <w:sectPr w:rsidR="002957D5" w:rsidSect="003645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567" w:right="531" w:bottom="1701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47" w:rsidRDefault="009F1E47" w:rsidP="00634E51">
      <w:pPr>
        <w:spacing w:after="0" w:line="240" w:lineRule="auto"/>
      </w:pPr>
      <w:r>
        <w:separator/>
      </w:r>
    </w:p>
  </w:endnote>
  <w:endnote w:type="continuationSeparator" w:id="0">
    <w:p w:rsidR="009F1E47" w:rsidRDefault="009F1E47" w:rsidP="0063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47" w:rsidRDefault="009F1E47" w:rsidP="00634E51">
      <w:pPr>
        <w:spacing w:after="0" w:line="240" w:lineRule="auto"/>
      </w:pPr>
      <w:r>
        <w:separator/>
      </w:r>
    </w:p>
  </w:footnote>
  <w:footnote w:type="continuationSeparator" w:id="0">
    <w:p w:rsidR="009F1E47" w:rsidRDefault="009F1E47" w:rsidP="00634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E51" w:rsidRPr="00634E51" w:rsidRDefault="00634E51" w:rsidP="0036456A">
    <w:pPr>
      <w:pStyle w:val="Encabezado"/>
      <w:jc w:val="center"/>
      <w:rPr>
        <w:b/>
      </w:rPr>
    </w:pPr>
    <w:bookmarkStart w:id="0" w:name="_GoBack"/>
    <w:bookmarkEnd w:id="0"/>
    <w:r w:rsidRPr="00634E51">
      <w:rPr>
        <w:b/>
        <w:noProof/>
        <w:sz w:val="36"/>
        <w:szCs w:val="40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8135550</wp:posOffset>
          </wp:positionH>
          <wp:positionV relativeFrom="paragraph">
            <wp:posOffset>2673</wp:posOffset>
          </wp:positionV>
          <wp:extent cx="1047750" cy="545465"/>
          <wp:effectExtent l="0" t="0" r="0" b="698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2540</wp:posOffset>
          </wp:positionV>
          <wp:extent cx="862965" cy="567690"/>
          <wp:effectExtent l="0" t="0" r="0" b="3810"/>
          <wp:wrapSquare wrapText="bothSides"/>
          <wp:docPr id="20" name="Imagen 20" descr="http://intranet.df.inee/images/stories/2016/imagen/logos/LOGO_INEE_AZU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ntranet.df.inee/images/stories/2016/imagen/logos/LOGO_INEE_AZUL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E51">
      <w:rPr>
        <w:b/>
      </w:rPr>
      <w:t>Procesos de Evaluación Diagnóstica en Educación Básica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Etapa 1. Informe de Responsabilidades Profesionales</w:t>
    </w:r>
  </w:p>
  <w:p w:rsidR="00634E51" w:rsidRP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Comité Académico de Atención a Observaciones de los Grupos Focales.</w:t>
    </w:r>
  </w:p>
  <w:p w:rsidR="00634E51" w:rsidRPr="00634E51" w:rsidRDefault="00634E51" w:rsidP="00634E51">
    <w:pPr>
      <w:pStyle w:val="Encabezado"/>
      <w:jc w:val="center"/>
      <w:rPr>
        <w:b/>
      </w:rPr>
    </w:pPr>
  </w:p>
  <w:p w:rsidR="00634E51" w:rsidRDefault="00634E51" w:rsidP="00634E51">
    <w:pPr>
      <w:pStyle w:val="Encabezado"/>
      <w:jc w:val="center"/>
      <w:rPr>
        <w:b/>
      </w:rPr>
    </w:pPr>
    <w:r w:rsidRPr="00634E51">
      <w:rPr>
        <w:b/>
      </w:rPr>
      <w:t>Matriz de especificaciones par</w:t>
    </w:r>
    <w:r w:rsidR="00A02C78">
      <w:rPr>
        <w:b/>
      </w:rPr>
      <w:t>a</w:t>
    </w:r>
    <w:r w:rsidRPr="00634E51">
      <w:rPr>
        <w:b/>
      </w:rPr>
      <w:t xml:space="preserve"> Docentes y Técnico Docente.</w:t>
    </w:r>
  </w:p>
  <w:p w:rsidR="00E37BB3" w:rsidRDefault="00E37BB3" w:rsidP="00634E51">
    <w:pPr>
      <w:pStyle w:val="Encabezado"/>
      <w:jc w:val="center"/>
      <w:rPr>
        <w:b/>
      </w:rPr>
    </w:pPr>
  </w:p>
  <w:tbl>
    <w:tblPr>
      <w:tblStyle w:val="Tablaconcuadrcula"/>
      <w:tblW w:w="14884" w:type="dxa"/>
      <w:tblInd w:w="279" w:type="dxa"/>
      <w:tblLook w:val="04A0" w:firstRow="1" w:lastRow="0" w:firstColumn="1" w:lastColumn="0" w:noHBand="0" w:noVBand="1"/>
    </w:tblPr>
    <w:tblGrid>
      <w:gridCol w:w="559"/>
      <w:gridCol w:w="1567"/>
      <w:gridCol w:w="1418"/>
      <w:gridCol w:w="2551"/>
      <w:gridCol w:w="2268"/>
      <w:gridCol w:w="2977"/>
      <w:gridCol w:w="2140"/>
      <w:gridCol w:w="801"/>
      <w:gridCol w:w="603"/>
    </w:tblGrid>
    <w:tr w:rsidR="00FC6B04" w:rsidTr="00FC6B04">
      <w:tc>
        <w:tcPr>
          <w:tcW w:w="559" w:type="dxa"/>
          <w:shd w:val="clear" w:color="auto" w:fill="808080" w:themeFill="background1" w:themeFillShade="80"/>
        </w:tcPr>
        <w:p w:rsidR="003F6B98" w:rsidRPr="00E37BB3" w:rsidRDefault="003F6B98" w:rsidP="009846A7">
          <w:pPr>
            <w:pStyle w:val="Encabezado"/>
            <w:ind w:left="-115" w:firstLine="115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 xml:space="preserve">No. </w:t>
          </w: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ind</w:t>
          </w:r>
          <w:proofErr w:type="spellEnd"/>
        </w:p>
      </w:tc>
      <w:tc>
        <w:tcPr>
          <w:tcW w:w="156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Área</w:t>
          </w:r>
        </w:p>
      </w:tc>
      <w:tc>
        <w:tcPr>
          <w:tcW w:w="141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Subárea</w:t>
          </w:r>
          <w:proofErr w:type="spellEnd"/>
        </w:p>
      </w:tc>
      <w:tc>
        <w:tcPr>
          <w:tcW w:w="255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Indicador</w:t>
          </w:r>
        </w:p>
      </w:tc>
      <w:tc>
        <w:tcPr>
          <w:tcW w:w="2268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Aspecto a Evaluar</w:t>
          </w:r>
        </w:p>
      </w:tc>
      <w:tc>
        <w:tcPr>
          <w:tcW w:w="2977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Especificación DOCTEC</w:t>
          </w:r>
        </w:p>
      </w:tc>
      <w:tc>
        <w:tcPr>
          <w:tcW w:w="2140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Evidencias para Autoridad Inmediata</w:t>
          </w:r>
        </w:p>
      </w:tc>
      <w:tc>
        <w:tcPr>
          <w:tcW w:w="801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r w:rsidRPr="00E37BB3">
            <w:rPr>
              <w:b/>
              <w:color w:val="FFFFFF" w:themeColor="background1"/>
              <w:sz w:val="20"/>
              <w:szCs w:val="20"/>
            </w:rPr>
            <w:t>Bloque</w:t>
          </w:r>
        </w:p>
      </w:tc>
      <w:tc>
        <w:tcPr>
          <w:tcW w:w="603" w:type="dxa"/>
          <w:shd w:val="clear" w:color="auto" w:fill="808080" w:themeFill="background1" w:themeFillShade="80"/>
        </w:tcPr>
        <w:p w:rsidR="003F6B98" w:rsidRPr="00E37BB3" w:rsidRDefault="003F6B98" w:rsidP="00E37BB3">
          <w:pPr>
            <w:pStyle w:val="Encabezado"/>
            <w:jc w:val="center"/>
            <w:rPr>
              <w:b/>
              <w:color w:val="FFFFFF" w:themeColor="background1"/>
              <w:sz w:val="20"/>
              <w:szCs w:val="20"/>
            </w:rPr>
          </w:pPr>
          <w:proofErr w:type="spellStart"/>
          <w:r w:rsidRPr="00E37BB3">
            <w:rPr>
              <w:b/>
              <w:color w:val="FFFFFF" w:themeColor="background1"/>
              <w:sz w:val="20"/>
              <w:szCs w:val="20"/>
            </w:rPr>
            <w:t>Item</w:t>
          </w:r>
          <w:proofErr w:type="spellEnd"/>
        </w:p>
      </w:tc>
    </w:tr>
  </w:tbl>
  <w:p w:rsidR="00E37BB3" w:rsidRPr="00634E51" w:rsidRDefault="00E37BB3" w:rsidP="00634E51">
    <w:pPr>
      <w:pStyle w:val="Encabezado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04" w:rsidRDefault="00FC6B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51"/>
    <w:rsid w:val="00070B1F"/>
    <w:rsid w:val="002075D5"/>
    <w:rsid w:val="002957D5"/>
    <w:rsid w:val="00335772"/>
    <w:rsid w:val="0036456A"/>
    <w:rsid w:val="003D1B18"/>
    <w:rsid w:val="003F6B98"/>
    <w:rsid w:val="004A1B85"/>
    <w:rsid w:val="004B218C"/>
    <w:rsid w:val="00602C8E"/>
    <w:rsid w:val="00610130"/>
    <w:rsid w:val="00634E51"/>
    <w:rsid w:val="00712F12"/>
    <w:rsid w:val="00863CE6"/>
    <w:rsid w:val="008721BD"/>
    <w:rsid w:val="009846A7"/>
    <w:rsid w:val="009F1E47"/>
    <w:rsid w:val="00A02C78"/>
    <w:rsid w:val="00C86D51"/>
    <w:rsid w:val="00E37BB3"/>
    <w:rsid w:val="00EE75D6"/>
    <w:rsid w:val="00F2384D"/>
    <w:rsid w:val="00F51DF1"/>
    <w:rsid w:val="00F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5ACFEA-D79C-4626-8257-DFB3D81E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E51"/>
  </w:style>
  <w:style w:type="paragraph" w:styleId="Piedepgina">
    <w:name w:val="footer"/>
    <w:basedOn w:val="Normal"/>
    <w:link w:val="PiedepginaCar"/>
    <w:uiPriority w:val="99"/>
    <w:unhideWhenUsed/>
    <w:rsid w:val="00634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E51"/>
  </w:style>
  <w:style w:type="paragraph" w:styleId="Textodeglobo">
    <w:name w:val="Balloon Text"/>
    <w:basedOn w:val="Normal"/>
    <w:link w:val="TextodegloboCar"/>
    <w:uiPriority w:val="99"/>
    <w:semiHidden/>
    <w:unhideWhenUsed/>
    <w:rsid w:val="0098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6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2146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9</cp:revision>
  <cp:lastPrinted>2018-06-12T15:17:00Z</cp:lastPrinted>
  <dcterms:created xsi:type="dcterms:W3CDTF">2018-06-11T20:44:00Z</dcterms:created>
  <dcterms:modified xsi:type="dcterms:W3CDTF">2018-06-12T15:19:00Z</dcterms:modified>
</cp:coreProperties>
</file>