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B1CE9" w:rsidRDefault="006B1CE9">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6B1CE9" w:rsidRDefault="006B1CE9">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6B1CE9" w:rsidRDefault="006B1CE9">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6B1CE9" w:rsidRDefault="00214638">
      <w:pPr>
        <w:spacing w:line="276" w:lineRule="auto"/>
        <w:ind w:left="425" w:right="138"/>
        <w:jc w:val="center"/>
        <w:rPr>
          <w:rFonts w:ascii="Arial" w:eastAsia="Arial" w:hAnsi="Arial" w:cs="Arial"/>
          <w:b/>
          <w:sz w:val="36"/>
          <w:szCs w:val="36"/>
          <w:highlight w:val="yellow"/>
        </w:rPr>
      </w:pPr>
      <w:bookmarkStart w:id="4" w:name="_heading=h.3znysh7" w:colFirst="0" w:colLast="0"/>
      <w:bookmarkEnd w:id="4"/>
      <w:r>
        <w:rPr>
          <w:rFonts w:ascii="Arial" w:eastAsia="Arial" w:hAnsi="Arial" w:cs="Arial"/>
          <w:b/>
          <w:sz w:val="36"/>
          <w:szCs w:val="36"/>
        </w:rPr>
        <w:t>Marco de Referencia para el desarrollo y uso del Instrumento de valoración de conocimientos y aptitudes docentes como parte del Proceso de Selección para la Promoción Vertical a la función Directiva en Educación Especial</w:t>
      </w:r>
    </w:p>
    <w:p w14:paraId="00000005" w14:textId="77777777" w:rsidR="006B1CE9" w:rsidRDefault="006B1CE9">
      <w:pPr>
        <w:spacing w:line="276" w:lineRule="auto"/>
        <w:ind w:left="425" w:right="138"/>
        <w:jc w:val="center"/>
        <w:rPr>
          <w:rFonts w:ascii="Arial" w:eastAsia="Arial" w:hAnsi="Arial" w:cs="Arial"/>
          <w:b/>
          <w:sz w:val="36"/>
          <w:szCs w:val="36"/>
        </w:rPr>
      </w:pPr>
      <w:bookmarkStart w:id="5" w:name="_heading=h.fjcfkn26c2p" w:colFirst="0" w:colLast="0"/>
      <w:bookmarkEnd w:id="5"/>
    </w:p>
    <w:p w14:paraId="00000006" w14:textId="77777777" w:rsidR="006B1CE9" w:rsidRDefault="00214638">
      <w:pPr>
        <w:spacing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6B1CE9" w:rsidRDefault="006B1CE9">
      <w:pPr>
        <w:spacing w:line="276" w:lineRule="auto"/>
        <w:ind w:left="425" w:right="138"/>
        <w:jc w:val="center"/>
        <w:rPr>
          <w:rFonts w:ascii="Arial" w:eastAsia="Arial" w:hAnsi="Arial" w:cs="Arial"/>
          <w:b/>
          <w:sz w:val="36"/>
          <w:szCs w:val="36"/>
        </w:rPr>
      </w:pPr>
      <w:bookmarkStart w:id="7" w:name="_heading=h.axzcwa14ti8s" w:colFirst="0" w:colLast="0"/>
      <w:bookmarkEnd w:id="7"/>
    </w:p>
    <w:p w14:paraId="00000008" w14:textId="77777777" w:rsidR="006B1CE9" w:rsidRDefault="00214638">
      <w:pPr>
        <w:spacing w:line="276" w:lineRule="auto"/>
        <w:ind w:left="425" w:right="138"/>
      </w:pPr>
      <w:r>
        <w:tab/>
      </w:r>
    </w:p>
    <w:p w14:paraId="0000000C" w14:textId="1DB517F6" w:rsidR="006B1CE9" w:rsidRDefault="006B1CE9">
      <w:pPr>
        <w:widowControl w:val="0"/>
        <w:spacing w:after="0" w:line="240" w:lineRule="auto"/>
        <w:ind w:left="425" w:right="138"/>
        <w:jc w:val="center"/>
        <w:rPr>
          <w:rFonts w:ascii="Arial" w:eastAsia="Arial" w:hAnsi="Arial" w:cs="Arial"/>
          <w:b/>
          <w:sz w:val="24"/>
          <w:szCs w:val="24"/>
        </w:rPr>
      </w:pPr>
    </w:p>
    <w:p w14:paraId="476500F9" w14:textId="08E32AAD" w:rsidR="006626CC" w:rsidRDefault="006626CC">
      <w:pPr>
        <w:widowControl w:val="0"/>
        <w:spacing w:after="0" w:line="240" w:lineRule="auto"/>
        <w:ind w:left="425" w:right="138"/>
        <w:jc w:val="center"/>
        <w:rPr>
          <w:rFonts w:ascii="Arial" w:eastAsia="Arial" w:hAnsi="Arial" w:cs="Arial"/>
          <w:b/>
          <w:sz w:val="24"/>
          <w:szCs w:val="24"/>
        </w:rPr>
      </w:pPr>
    </w:p>
    <w:p w14:paraId="0DE8D6A3" w14:textId="387EF000" w:rsidR="006626CC" w:rsidRDefault="006626CC">
      <w:pPr>
        <w:widowControl w:val="0"/>
        <w:spacing w:after="0" w:line="240" w:lineRule="auto"/>
        <w:ind w:left="425" w:right="138"/>
        <w:jc w:val="center"/>
        <w:rPr>
          <w:rFonts w:ascii="Arial" w:eastAsia="Arial" w:hAnsi="Arial" w:cs="Arial"/>
          <w:b/>
          <w:sz w:val="24"/>
          <w:szCs w:val="24"/>
        </w:rPr>
      </w:pPr>
    </w:p>
    <w:p w14:paraId="78CA0018" w14:textId="78729F96" w:rsidR="006626CC" w:rsidRDefault="006626CC">
      <w:pPr>
        <w:widowControl w:val="0"/>
        <w:spacing w:after="0" w:line="240" w:lineRule="auto"/>
        <w:ind w:left="425" w:right="138"/>
        <w:jc w:val="center"/>
        <w:rPr>
          <w:rFonts w:ascii="Arial" w:eastAsia="Arial" w:hAnsi="Arial" w:cs="Arial"/>
          <w:b/>
          <w:sz w:val="24"/>
          <w:szCs w:val="24"/>
        </w:rPr>
      </w:pPr>
    </w:p>
    <w:p w14:paraId="60613BE5" w14:textId="0D43AA85" w:rsidR="006626CC" w:rsidRDefault="006626CC">
      <w:pPr>
        <w:widowControl w:val="0"/>
        <w:spacing w:after="0" w:line="240" w:lineRule="auto"/>
        <w:ind w:left="425" w:right="138"/>
        <w:jc w:val="center"/>
        <w:rPr>
          <w:rFonts w:ascii="Arial" w:eastAsia="Arial" w:hAnsi="Arial" w:cs="Arial"/>
          <w:b/>
          <w:sz w:val="24"/>
          <w:szCs w:val="24"/>
        </w:rPr>
      </w:pPr>
    </w:p>
    <w:p w14:paraId="77F15A20" w14:textId="77777777" w:rsidR="006626CC" w:rsidRDefault="006626CC">
      <w:pPr>
        <w:widowControl w:val="0"/>
        <w:spacing w:after="0" w:line="240" w:lineRule="auto"/>
        <w:ind w:left="425" w:right="138"/>
        <w:jc w:val="center"/>
        <w:rPr>
          <w:rFonts w:ascii="Arial" w:eastAsia="Arial" w:hAnsi="Arial" w:cs="Arial"/>
          <w:b/>
          <w:sz w:val="24"/>
          <w:szCs w:val="24"/>
        </w:rPr>
      </w:pPr>
    </w:p>
    <w:p w14:paraId="0000000D" w14:textId="77777777" w:rsidR="006B1CE9" w:rsidRDefault="006B1CE9">
      <w:pPr>
        <w:widowControl w:val="0"/>
        <w:spacing w:before="2" w:after="0" w:line="240" w:lineRule="auto"/>
        <w:ind w:left="425" w:right="138"/>
        <w:jc w:val="center"/>
        <w:rPr>
          <w:rFonts w:ascii="Arial" w:eastAsia="Arial" w:hAnsi="Arial" w:cs="Arial"/>
          <w:sz w:val="24"/>
          <w:szCs w:val="24"/>
        </w:rPr>
      </w:pPr>
    </w:p>
    <w:p w14:paraId="0000000E" w14:textId="77777777" w:rsidR="006B1CE9" w:rsidRDefault="006B1CE9">
      <w:pPr>
        <w:widowControl w:val="0"/>
        <w:spacing w:after="0" w:line="200" w:lineRule="auto"/>
        <w:ind w:left="425" w:right="138"/>
        <w:rPr>
          <w:rFonts w:ascii="Arial" w:eastAsia="Arial" w:hAnsi="Arial" w:cs="Arial"/>
          <w:sz w:val="24"/>
          <w:szCs w:val="24"/>
        </w:rPr>
      </w:pPr>
    </w:p>
    <w:p w14:paraId="0000000F" w14:textId="77777777" w:rsidR="006B1CE9" w:rsidRDefault="006B1CE9">
      <w:pPr>
        <w:widowControl w:val="0"/>
        <w:spacing w:after="0" w:line="200" w:lineRule="auto"/>
        <w:ind w:left="425" w:right="138"/>
        <w:rPr>
          <w:rFonts w:ascii="Arial" w:eastAsia="Arial" w:hAnsi="Arial" w:cs="Arial"/>
          <w:sz w:val="24"/>
          <w:szCs w:val="24"/>
        </w:rPr>
      </w:pPr>
    </w:p>
    <w:p w14:paraId="00000010" w14:textId="77777777" w:rsidR="006B1CE9" w:rsidRDefault="006B1CE9">
      <w:pPr>
        <w:widowControl w:val="0"/>
        <w:spacing w:after="0" w:line="200" w:lineRule="auto"/>
        <w:ind w:left="425" w:right="138"/>
        <w:rPr>
          <w:rFonts w:ascii="Arial" w:eastAsia="Arial" w:hAnsi="Arial" w:cs="Arial"/>
          <w:sz w:val="24"/>
          <w:szCs w:val="24"/>
        </w:rPr>
      </w:pPr>
    </w:p>
    <w:p w14:paraId="00000011" w14:textId="77777777" w:rsidR="006B1CE9" w:rsidRDefault="006B1CE9">
      <w:pPr>
        <w:widowControl w:val="0"/>
        <w:spacing w:after="0" w:line="200" w:lineRule="auto"/>
        <w:ind w:left="425" w:right="138"/>
        <w:rPr>
          <w:rFonts w:ascii="Arial" w:eastAsia="Arial" w:hAnsi="Arial" w:cs="Arial"/>
          <w:sz w:val="24"/>
          <w:szCs w:val="24"/>
        </w:rPr>
      </w:pPr>
    </w:p>
    <w:p w14:paraId="00000012" w14:textId="77777777" w:rsidR="006B1CE9" w:rsidRDefault="006B1CE9">
      <w:pPr>
        <w:widowControl w:val="0"/>
        <w:spacing w:after="0" w:line="200" w:lineRule="auto"/>
        <w:ind w:left="425" w:right="138"/>
        <w:rPr>
          <w:rFonts w:ascii="Arial" w:eastAsia="Arial" w:hAnsi="Arial" w:cs="Arial"/>
          <w:sz w:val="24"/>
          <w:szCs w:val="24"/>
        </w:rPr>
      </w:pPr>
    </w:p>
    <w:p w14:paraId="00000013" w14:textId="77777777" w:rsidR="006B1CE9" w:rsidRDefault="006B1CE9">
      <w:pPr>
        <w:widowControl w:val="0"/>
        <w:spacing w:after="0" w:line="200" w:lineRule="auto"/>
        <w:ind w:left="425" w:right="138"/>
        <w:rPr>
          <w:rFonts w:ascii="Arial" w:eastAsia="Arial" w:hAnsi="Arial" w:cs="Arial"/>
          <w:sz w:val="24"/>
          <w:szCs w:val="24"/>
        </w:rPr>
      </w:pPr>
    </w:p>
    <w:p w14:paraId="00000014" w14:textId="77777777" w:rsidR="006B1CE9" w:rsidRDefault="006B1CE9">
      <w:pPr>
        <w:widowControl w:val="0"/>
        <w:spacing w:after="0" w:line="200" w:lineRule="auto"/>
        <w:ind w:left="425" w:right="138"/>
        <w:rPr>
          <w:rFonts w:ascii="Arial" w:eastAsia="Arial" w:hAnsi="Arial" w:cs="Arial"/>
          <w:sz w:val="24"/>
          <w:szCs w:val="24"/>
        </w:rPr>
      </w:pPr>
    </w:p>
    <w:p w14:paraId="00000015" w14:textId="77777777" w:rsidR="006B1CE9" w:rsidRDefault="006B1CE9">
      <w:pPr>
        <w:widowControl w:val="0"/>
        <w:spacing w:after="0" w:line="200" w:lineRule="auto"/>
        <w:ind w:left="425" w:right="138"/>
        <w:rPr>
          <w:rFonts w:ascii="Arial" w:eastAsia="Arial" w:hAnsi="Arial" w:cs="Arial"/>
          <w:sz w:val="24"/>
          <w:szCs w:val="24"/>
        </w:rPr>
      </w:pPr>
    </w:p>
    <w:p w14:paraId="00000016" w14:textId="2BC3A76F" w:rsidR="006B1CE9" w:rsidRDefault="006B1CE9">
      <w:pPr>
        <w:widowControl w:val="0"/>
        <w:spacing w:after="0" w:line="200" w:lineRule="auto"/>
        <w:ind w:left="425" w:right="138"/>
        <w:rPr>
          <w:rFonts w:ascii="Arial" w:eastAsia="Arial" w:hAnsi="Arial" w:cs="Arial"/>
          <w:sz w:val="24"/>
          <w:szCs w:val="24"/>
        </w:rPr>
      </w:pPr>
    </w:p>
    <w:p w14:paraId="0BFB0812" w14:textId="77777777" w:rsidR="000D2FEE" w:rsidRDefault="000D2FEE">
      <w:pPr>
        <w:widowControl w:val="0"/>
        <w:spacing w:after="0" w:line="200" w:lineRule="auto"/>
        <w:ind w:left="425" w:right="138"/>
        <w:rPr>
          <w:rFonts w:ascii="Arial" w:eastAsia="Arial" w:hAnsi="Arial" w:cs="Arial"/>
          <w:sz w:val="24"/>
          <w:szCs w:val="24"/>
        </w:rPr>
      </w:pPr>
    </w:p>
    <w:p w14:paraId="00000017" w14:textId="77777777" w:rsidR="006B1CE9" w:rsidRDefault="006B1CE9">
      <w:pPr>
        <w:widowControl w:val="0"/>
        <w:spacing w:after="0" w:line="200" w:lineRule="auto"/>
        <w:ind w:left="425" w:right="138"/>
        <w:rPr>
          <w:rFonts w:ascii="Arial" w:eastAsia="Arial" w:hAnsi="Arial" w:cs="Arial"/>
          <w:sz w:val="24"/>
          <w:szCs w:val="24"/>
        </w:rPr>
      </w:pPr>
    </w:p>
    <w:p w14:paraId="00000018" w14:textId="77777777" w:rsidR="006B1CE9" w:rsidRDefault="006B1CE9">
      <w:pPr>
        <w:widowControl w:val="0"/>
        <w:spacing w:after="0" w:line="200" w:lineRule="auto"/>
        <w:ind w:left="425" w:right="138"/>
        <w:rPr>
          <w:rFonts w:ascii="Arial" w:eastAsia="Arial" w:hAnsi="Arial" w:cs="Arial"/>
          <w:sz w:val="24"/>
          <w:szCs w:val="24"/>
        </w:rPr>
      </w:pPr>
    </w:p>
    <w:p w14:paraId="00000019" w14:textId="77777777" w:rsidR="006B1CE9" w:rsidRDefault="006B1CE9">
      <w:pPr>
        <w:widowControl w:val="0"/>
        <w:spacing w:after="0" w:line="200" w:lineRule="auto"/>
        <w:ind w:left="425" w:right="138"/>
        <w:rPr>
          <w:rFonts w:ascii="Arial" w:eastAsia="Arial" w:hAnsi="Arial" w:cs="Arial"/>
          <w:sz w:val="24"/>
          <w:szCs w:val="24"/>
        </w:rPr>
      </w:pPr>
    </w:p>
    <w:p w14:paraId="0000001A" w14:textId="77777777" w:rsidR="006B1CE9" w:rsidRDefault="006B1CE9">
      <w:pPr>
        <w:widowControl w:val="0"/>
        <w:spacing w:before="12" w:after="0" w:line="280" w:lineRule="auto"/>
        <w:ind w:left="425" w:right="138"/>
        <w:rPr>
          <w:rFonts w:ascii="Arial" w:eastAsia="Arial" w:hAnsi="Arial" w:cs="Arial"/>
          <w:sz w:val="24"/>
          <w:szCs w:val="24"/>
        </w:rPr>
      </w:pPr>
    </w:p>
    <w:p w14:paraId="0000001B" w14:textId="77777777" w:rsidR="006B1CE9" w:rsidRDefault="00214638">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C" w14:textId="77777777" w:rsidR="006B1CE9" w:rsidRDefault="00214638">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D" w14:textId="77777777" w:rsidR="006B1CE9" w:rsidRDefault="006B1CE9">
      <w:pPr>
        <w:spacing w:line="276" w:lineRule="auto"/>
        <w:ind w:left="425" w:right="138"/>
        <w:rPr>
          <w:rFonts w:ascii="Arial" w:eastAsia="Arial" w:hAnsi="Arial" w:cs="Arial"/>
          <w:b/>
          <w:sz w:val="28"/>
          <w:szCs w:val="28"/>
        </w:rPr>
      </w:pPr>
    </w:p>
    <w:p w14:paraId="0000001E" w14:textId="77777777" w:rsidR="006B1CE9" w:rsidRDefault="00214638">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1F" w14:textId="77777777" w:rsidR="006B1CE9" w:rsidRDefault="00214638">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0" w14:textId="77777777" w:rsidR="006B1CE9" w:rsidRDefault="00214638">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1" w14:textId="77777777" w:rsidR="006B1CE9" w:rsidRDefault="006B1CE9">
      <w:pPr>
        <w:spacing w:line="276" w:lineRule="auto"/>
        <w:ind w:left="425" w:right="138"/>
        <w:rPr>
          <w:rFonts w:ascii="Arial" w:eastAsia="Arial" w:hAnsi="Arial" w:cs="Arial"/>
          <w:b/>
          <w:sz w:val="24"/>
          <w:szCs w:val="24"/>
        </w:rPr>
      </w:pPr>
    </w:p>
    <w:p w14:paraId="00000022" w14:textId="77777777" w:rsidR="006B1CE9" w:rsidRDefault="00214638">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3" w14:textId="77777777" w:rsidR="006B1CE9" w:rsidRDefault="006B1CE9">
      <w:pPr>
        <w:spacing w:line="276" w:lineRule="auto"/>
        <w:ind w:left="1440" w:right="138"/>
        <w:rPr>
          <w:rFonts w:ascii="Arial" w:eastAsia="Arial" w:hAnsi="Arial" w:cs="Arial"/>
          <w:b/>
          <w:sz w:val="24"/>
          <w:szCs w:val="24"/>
        </w:rPr>
      </w:pPr>
    </w:p>
    <w:p w14:paraId="00000024" w14:textId="77777777" w:rsidR="006B1CE9" w:rsidRDefault="00214638">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5" w14:textId="77777777" w:rsidR="006B1CE9" w:rsidRDefault="00214638">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6" w14:textId="77777777" w:rsidR="006B1CE9" w:rsidRDefault="00214638">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7" w14:textId="77777777" w:rsidR="006B1CE9" w:rsidRDefault="006B1CE9">
      <w:pPr>
        <w:spacing w:line="276" w:lineRule="auto"/>
        <w:ind w:left="992" w:right="138"/>
        <w:rPr>
          <w:rFonts w:ascii="Arial" w:eastAsia="Arial" w:hAnsi="Arial" w:cs="Arial"/>
          <w:sz w:val="24"/>
          <w:szCs w:val="24"/>
        </w:rPr>
      </w:pPr>
    </w:p>
    <w:p w14:paraId="00000028" w14:textId="77777777" w:rsidR="006B1CE9" w:rsidRDefault="00214638">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9" w14:textId="77777777" w:rsidR="006B1CE9" w:rsidRDefault="006B1CE9">
      <w:pPr>
        <w:spacing w:line="276" w:lineRule="auto"/>
        <w:ind w:left="1440" w:right="138"/>
        <w:rPr>
          <w:rFonts w:ascii="Arial" w:eastAsia="Arial" w:hAnsi="Arial" w:cs="Arial"/>
          <w:sz w:val="24"/>
          <w:szCs w:val="24"/>
        </w:rPr>
      </w:pPr>
    </w:p>
    <w:p w14:paraId="0000002A" w14:textId="77777777" w:rsidR="006B1CE9" w:rsidRDefault="00214638">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B" w14:textId="77777777" w:rsidR="006B1CE9" w:rsidRDefault="006B1CE9">
      <w:pPr>
        <w:spacing w:line="276" w:lineRule="auto"/>
        <w:ind w:right="138"/>
        <w:rPr>
          <w:rFonts w:ascii="Arial" w:eastAsia="Arial" w:hAnsi="Arial" w:cs="Arial"/>
          <w:b/>
          <w:sz w:val="24"/>
          <w:szCs w:val="24"/>
        </w:rPr>
      </w:pPr>
    </w:p>
    <w:p w14:paraId="0000002C" w14:textId="77777777" w:rsidR="006B1CE9" w:rsidRDefault="00214638">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D" w14:textId="77777777" w:rsidR="006B1CE9" w:rsidRDefault="006B1CE9">
      <w:pPr>
        <w:spacing w:line="276" w:lineRule="auto"/>
        <w:ind w:left="425" w:right="138"/>
        <w:rPr>
          <w:rFonts w:ascii="Arial" w:eastAsia="Arial" w:hAnsi="Arial" w:cs="Arial"/>
          <w:b/>
          <w:sz w:val="24"/>
          <w:szCs w:val="24"/>
        </w:rPr>
      </w:pPr>
    </w:p>
    <w:p w14:paraId="0000002E" w14:textId="77777777" w:rsidR="006B1CE9" w:rsidRDefault="006B1CE9">
      <w:pPr>
        <w:spacing w:line="276" w:lineRule="auto"/>
        <w:ind w:left="425" w:right="138"/>
        <w:rPr>
          <w:rFonts w:ascii="Arial" w:eastAsia="Arial" w:hAnsi="Arial" w:cs="Arial"/>
          <w:b/>
          <w:sz w:val="24"/>
          <w:szCs w:val="24"/>
        </w:rPr>
      </w:pPr>
    </w:p>
    <w:p w14:paraId="0000002F" w14:textId="77777777" w:rsidR="006B1CE9" w:rsidRDefault="006B1CE9">
      <w:pPr>
        <w:spacing w:line="276" w:lineRule="auto"/>
        <w:ind w:left="425" w:right="138"/>
        <w:rPr>
          <w:rFonts w:ascii="Arial" w:eastAsia="Arial" w:hAnsi="Arial" w:cs="Arial"/>
          <w:b/>
          <w:sz w:val="24"/>
          <w:szCs w:val="24"/>
        </w:rPr>
      </w:pPr>
    </w:p>
    <w:p w14:paraId="00000030" w14:textId="38715D9A" w:rsidR="006B1CE9" w:rsidRDefault="006B1CE9">
      <w:pPr>
        <w:spacing w:line="276" w:lineRule="auto"/>
        <w:ind w:left="425" w:right="138"/>
        <w:rPr>
          <w:rFonts w:ascii="Arial" w:eastAsia="Arial" w:hAnsi="Arial" w:cs="Arial"/>
          <w:b/>
          <w:sz w:val="24"/>
          <w:szCs w:val="24"/>
        </w:rPr>
      </w:pPr>
    </w:p>
    <w:p w14:paraId="7020A639" w14:textId="2F95CB46" w:rsidR="000D2FEE" w:rsidRDefault="000D2FEE">
      <w:pPr>
        <w:spacing w:line="276" w:lineRule="auto"/>
        <w:ind w:left="425" w:right="138"/>
        <w:rPr>
          <w:rFonts w:ascii="Arial" w:eastAsia="Arial" w:hAnsi="Arial" w:cs="Arial"/>
          <w:b/>
          <w:sz w:val="24"/>
          <w:szCs w:val="24"/>
        </w:rPr>
      </w:pPr>
    </w:p>
    <w:p w14:paraId="20A40BEE" w14:textId="77777777" w:rsidR="000D2FEE" w:rsidRDefault="000D2FEE">
      <w:pPr>
        <w:spacing w:line="276" w:lineRule="auto"/>
        <w:ind w:left="425" w:right="138"/>
        <w:rPr>
          <w:rFonts w:ascii="Arial" w:eastAsia="Arial" w:hAnsi="Arial" w:cs="Arial"/>
          <w:b/>
          <w:sz w:val="24"/>
          <w:szCs w:val="24"/>
        </w:rPr>
      </w:pPr>
    </w:p>
    <w:p w14:paraId="00000031" w14:textId="77777777" w:rsidR="006B1CE9" w:rsidRDefault="006B1CE9">
      <w:pPr>
        <w:spacing w:line="276" w:lineRule="auto"/>
        <w:ind w:left="425" w:right="138"/>
        <w:rPr>
          <w:rFonts w:ascii="Arial" w:eastAsia="Arial" w:hAnsi="Arial" w:cs="Arial"/>
          <w:b/>
          <w:sz w:val="24"/>
          <w:szCs w:val="24"/>
        </w:rPr>
      </w:pPr>
    </w:p>
    <w:p w14:paraId="00000032" w14:textId="77777777" w:rsidR="006B1CE9" w:rsidRDefault="006B1CE9">
      <w:pPr>
        <w:spacing w:line="276" w:lineRule="auto"/>
        <w:ind w:left="425" w:right="138"/>
        <w:rPr>
          <w:rFonts w:ascii="Arial" w:eastAsia="Arial" w:hAnsi="Arial" w:cs="Arial"/>
          <w:b/>
          <w:sz w:val="24"/>
          <w:szCs w:val="24"/>
        </w:rPr>
      </w:pPr>
    </w:p>
    <w:p w14:paraId="00000033" w14:textId="77777777" w:rsidR="006B1CE9" w:rsidRDefault="006B1CE9">
      <w:pPr>
        <w:spacing w:line="276" w:lineRule="auto"/>
        <w:ind w:left="425" w:right="138"/>
        <w:rPr>
          <w:rFonts w:ascii="Arial" w:eastAsia="Arial" w:hAnsi="Arial" w:cs="Arial"/>
          <w:b/>
          <w:sz w:val="24"/>
          <w:szCs w:val="24"/>
        </w:rPr>
      </w:pPr>
    </w:p>
    <w:p w14:paraId="00000034" w14:textId="77777777" w:rsidR="006B1CE9" w:rsidRDefault="006B1CE9">
      <w:pPr>
        <w:spacing w:line="276" w:lineRule="auto"/>
        <w:ind w:left="425" w:right="138"/>
        <w:rPr>
          <w:rFonts w:ascii="Arial" w:eastAsia="Arial" w:hAnsi="Arial" w:cs="Arial"/>
          <w:b/>
          <w:sz w:val="24"/>
          <w:szCs w:val="24"/>
        </w:rPr>
      </w:pPr>
    </w:p>
    <w:p w14:paraId="00000035" w14:textId="77777777" w:rsidR="006B1CE9" w:rsidRDefault="00214638">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6" w14:textId="77777777" w:rsidR="006B1CE9" w:rsidRDefault="006B1CE9">
      <w:pPr>
        <w:spacing w:line="276" w:lineRule="auto"/>
        <w:ind w:left="425" w:right="138"/>
        <w:rPr>
          <w:rFonts w:ascii="Arial" w:eastAsia="Arial" w:hAnsi="Arial" w:cs="Arial"/>
          <w:b/>
          <w:sz w:val="24"/>
          <w:szCs w:val="24"/>
        </w:rPr>
      </w:pPr>
    </w:p>
    <w:p w14:paraId="00000037" w14:textId="77777777" w:rsidR="006B1CE9" w:rsidRDefault="006B1CE9">
      <w:pPr>
        <w:spacing w:line="276" w:lineRule="auto"/>
        <w:ind w:left="425" w:right="138"/>
        <w:rPr>
          <w:rFonts w:ascii="Arial" w:eastAsia="Arial" w:hAnsi="Arial" w:cs="Arial"/>
          <w:b/>
          <w:sz w:val="24"/>
          <w:szCs w:val="24"/>
        </w:rPr>
      </w:pPr>
    </w:p>
    <w:p w14:paraId="00000038" w14:textId="77777777" w:rsidR="006B1CE9" w:rsidRDefault="006B1CE9">
      <w:pPr>
        <w:spacing w:line="276" w:lineRule="auto"/>
        <w:ind w:left="425" w:right="138"/>
        <w:rPr>
          <w:rFonts w:ascii="Arial" w:eastAsia="Arial" w:hAnsi="Arial" w:cs="Arial"/>
          <w:b/>
          <w:sz w:val="24"/>
          <w:szCs w:val="24"/>
        </w:rPr>
      </w:pPr>
    </w:p>
    <w:p w14:paraId="00000039" w14:textId="77777777" w:rsidR="006B1CE9" w:rsidRDefault="006B1CE9">
      <w:pPr>
        <w:spacing w:line="276" w:lineRule="auto"/>
        <w:ind w:left="425" w:right="138"/>
        <w:rPr>
          <w:rFonts w:ascii="Arial" w:eastAsia="Arial" w:hAnsi="Arial" w:cs="Arial"/>
          <w:b/>
          <w:sz w:val="24"/>
          <w:szCs w:val="24"/>
        </w:rPr>
      </w:pPr>
    </w:p>
    <w:p w14:paraId="0000003A" w14:textId="77777777" w:rsidR="006B1CE9" w:rsidRDefault="006B1CE9">
      <w:pPr>
        <w:spacing w:line="276" w:lineRule="auto"/>
        <w:ind w:left="425" w:right="138"/>
        <w:rPr>
          <w:rFonts w:ascii="Arial" w:eastAsia="Arial" w:hAnsi="Arial" w:cs="Arial"/>
          <w:b/>
          <w:sz w:val="24"/>
          <w:szCs w:val="24"/>
        </w:rPr>
      </w:pPr>
    </w:p>
    <w:p w14:paraId="0000003B" w14:textId="77777777" w:rsidR="006B1CE9" w:rsidRDefault="006B1CE9">
      <w:pPr>
        <w:spacing w:line="276" w:lineRule="auto"/>
        <w:ind w:left="425" w:right="138"/>
        <w:rPr>
          <w:rFonts w:ascii="Arial" w:eastAsia="Arial" w:hAnsi="Arial" w:cs="Arial"/>
          <w:b/>
          <w:sz w:val="24"/>
          <w:szCs w:val="24"/>
        </w:rPr>
      </w:pPr>
    </w:p>
    <w:p w14:paraId="0000003C" w14:textId="77777777" w:rsidR="006B1CE9" w:rsidRDefault="006B1CE9">
      <w:pPr>
        <w:spacing w:line="276" w:lineRule="auto"/>
        <w:ind w:left="425" w:right="138"/>
        <w:rPr>
          <w:rFonts w:ascii="Arial" w:eastAsia="Arial" w:hAnsi="Arial" w:cs="Arial"/>
          <w:b/>
          <w:sz w:val="24"/>
          <w:szCs w:val="24"/>
        </w:rPr>
      </w:pPr>
    </w:p>
    <w:p w14:paraId="0000003D" w14:textId="77777777" w:rsidR="006B1CE9" w:rsidRDefault="006B1CE9">
      <w:pPr>
        <w:spacing w:line="276" w:lineRule="auto"/>
        <w:ind w:left="425" w:right="138"/>
        <w:rPr>
          <w:rFonts w:ascii="Arial" w:eastAsia="Arial" w:hAnsi="Arial" w:cs="Arial"/>
          <w:b/>
          <w:sz w:val="24"/>
          <w:szCs w:val="24"/>
        </w:rPr>
      </w:pPr>
    </w:p>
    <w:p w14:paraId="0000003E" w14:textId="77777777" w:rsidR="006B1CE9" w:rsidRDefault="006B1CE9">
      <w:pPr>
        <w:spacing w:line="276" w:lineRule="auto"/>
        <w:ind w:left="425" w:right="138"/>
        <w:rPr>
          <w:rFonts w:ascii="Arial" w:eastAsia="Arial" w:hAnsi="Arial" w:cs="Arial"/>
          <w:b/>
          <w:sz w:val="24"/>
          <w:szCs w:val="24"/>
        </w:rPr>
      </w:pPr>
    </w:p>
    <w:p w14:paraId="0000003F" w14:textId="77777777" w:rsidR="006B1CE9" w:rsidRDefault="006B1CE9">
      <w:pPr>
        <w:spacing w:line="276" w:lineRule="auto"/>
        <w:ind w:left="425" w:right="138"/>
        <w:rPr>
          <w:rFonts w:ascii="Arial" w:eastAsia="Arial" w:hAnsi="Arial" w:cs="Arial"/>
          <w:b/>
          <w:sz w:val="24"/>
          <w:szCs w:val="24"/>
        </w:rPr>
      </w:pPr>
    </w:p>
    <w:p w14:paraId="00000040" w14:textId="77777777" w:rsidR="006B1CE9" w:rsidRDefault="006B1CE9">
      <w:pPr>
        <w:spacing w:line="276" w:lineRule="auto"/>
        <w:ind w:left="425" w:right="138"/>
        <w:rPr>
          <w:rFonts w:ascii="Arial" w:eastAsia="Arial" w:hAnsi="Arial" w:cs="Arial"/>
          <w:b/>
          <w:sz w:val="24"/>
          <w:szCs w:val="24"/>
        </w:rPr>
      </w:pPr>
    </w:p>
    <w:p w14:paraId="00000041" w14:textId="77777777" w:rsidR="006B1CE9" w:rsidRDefault="006B1CE9">
      <w:pPr>
        <w:spacing w:line="276" w:lineRule="auto"/>
        <w:ind w:left="425" w:right="138"/>
        <w:rPr>
          <w:rFonts w:ascii="Arial" w:eastAsia="Arial" w:hAnsi="Arial" w:cs="Arial"/>
          <w:b/>
          <w:sz w:val="24"/>
          <w:szCs w:val="24"/>
        </w:rPr>
      </w:pPr>
    </w:p>
    <w:p w14:paraId="00000042" w14:textId="77777777" w:rsidR="006B1CE9" w:rsidRDefault="006B1CE9">
      <w:pPr>
        <w:spacing w:line="276" w:lineRule="auto"/>
        <w:ind w:left="425" w:right="138"/>
        <w:rPr>
          <w:rFonts w:ascii="Arial" w:eastAsia="Arial" w:hAnsi="Arial" w:cs="Arial"/>
          <w:b/>
          <w:sz w:val="24"/>
          <w:szCs w:val="24"/>
        </w:rPr>
      </w:pPr>
    </w:p>
    <w:p w14:paraId="00000043" w14:textId="77777777" w:rsidR="006B1CE9" w:rsidRDefault="006B1CE9">
      <w:pPr>
        <w:spacing w:line="276" w:lineRule="auto"/>
        <w:ind w:left="425" w:right="138"/>
        <w:rPr>
          <w:rFonts w:ascii="Arial" w:eastAsia="Arial" w:hAnsi="Arial" w:cs="Arial"/>
          <w:b/>
          <w:sz w:val="24"/>
          <w:szCs w:val="24"/>
        </w:rPr>
      </w:pPr>
    </w:p>
    <w:p w14:paraId="00000044" w14:textId="77777777" w:rsidR="006B1CE9" w:rsidRDefault="006B1CE9">
      <w:pPr>
        <w:spacing w:line="276" w:lineRule="auto"/>
        <w:ind w:left="425" w:right="138"/>
        <w:rPr>
          <w:rFonts w:ascii="Arial" w:eastAsia="Arial" w:hAnsi="Arial" w:cs="Arial"/>
          <w:b/>
          <w:sz w:val="24"/>
          <w:szCs w:val="24"/>
        </w:rPr>
      </w:pPr>
    </w:p>
    <w:p w14:paraId="00000045" w14:textId="77777777" w:rsidR="006B1CE9" w:rsidRDefault="006B1CE9">
      <w:pPr>
        <w:spacing w:line="276" w:lineRule="auto"/>
        <w:ind w:left="425" w:right="138"/>
        <w:rPr>
          <w:rFonts w:ascii="Arial" w:eastAsia="Arial" w:hAnsi="Arial" w:cs="Arial"/>
          <w:b/>
          <w:sz w:val="24"/>
          <w:szCs w:val="24"/>
        </w:rPr>
      </w:pPr>
    </w:p>
    <w:p w14:paraId="00000046" w14:textId="77777777" w:rsidR="006B1CE9" w:rsidRDefault="006B1CE9">
      <w:pPr>
        <w:spacing w:line="276" w:lineRule="auto"/>
        <w:ind w:left="425" w:right="138"/>
        <w:rPr>
          <w:rFonts w:ascii="Arial" w:eastAsia="Arial" w:hAnsi="Arial" w:cs="Arial"/>
          <w:b/>
          <w:sz w:val="24"/>
          <w:szCs w:val="24"/>
        </w:rPr>
      </w:pPr>
    </w:p>
    <w:p w14:paraId="00000047" w14:textId="77777777" w:rsidR="006B1CE9" w:rsidRDefault="006B1CE9">
      <w:pPr>
        <w:spacing w:line="276" w:lineRule="auto"/>
        <w:ind w:left="425" w:right="138"/>
        <w:rPr>
          <w:rFonts w:ascii="Arial" w:eastAsia="Arial" w:hAnsi="Arial" w:cs="Arial"/>
          <w:b/>
          <w:sz w:val="24"/>
          <w:szCs w:val="24"/>
        </w:rPr>
      </w:pPr>
    </w:p>
    <w:p w14:paraId="00000048" w14:textId="77777777" w:rsidR="006B1CE9" w:rsidRDefault="006B1CE9">
      <w:pPr>
        <w:spacing w:line="276" w:lineRule="auto"/>
        <w:ind w:left="425" w:right="138"/>
        <w:rPr>
          <w:rFonts w:ascii="Arial" w:eastAsia="Arial" w:hAnsi="Arial" w:cs="Arial"/>
          <w:b/>
          <w:sz w:val="24"/>
          <w:szCs w:val="24"/>
        </w:rPr>
      </w:pPr>
    </w:p>
    <w:p w14:paraId="00000049" w14:textId="77777777" w:rsidR="006B1CE9" w:rsidRDefault="006B1CE9">
      <w:pPr>
        <w:spacing w:line="276" w:lineRule="auto"/>
        <w:ind w:left="425" w:right="138"/>
        <w:rPr>
          <w:rFonts w:ascii="Arial" w:eastAsia="Arial" w:hAnsi="Arial" w:cs="Arial"/>
          <w:b/>
          <w:sz w:val="24"/>
          <w:szCs w:val="24"/>
        </w:rPr>
      </w:pPr>
    </w:p>
    <w:p w14:paraId="0000004A" w14:textId="77777777" w:rsidR="006B1CE9" w:rsidRDefault="006B1CE9">
      <w:pPr>
        <w:spacing w:line="276" w:lineRule="auto"/>
        <w:ind w:left="425" w:right="138"/>
        <w:rPr>
          <w:rFonts w:ascii="Arial" w:eastAsia="Arial" w:hAnsi="Arial" w:cs="Arial"/>
          <w:b/>
          <w:sz w:val="24"/>
          <w:szCs w:val="24"/>
        </w:rPr>
      </w:pPr>
    </w:p>
    <w:p w14:paraId="0000004B" w14:textId="77777777" w:rsidR="006B1CE9" w:rsidRDefault="006B1CE9">
      <w:pPr>
        <w:spacing w:line="276" w:lineRule="auto"/>
        <w:ind w:left="425" w:right="138"/>
        <w:rPr>
          <w:rFonts w:ascii="Arial" w:eastAsia="Arial" w:hAnsi="Arial" w:cs="Arial"/>
          <w:b/>
          <w:sz w:val="24"/>
          <w:szCs w:val="24"/>
        </w:rPr>
      </w:pPr>
    </w:p>
    <w:p w14:paraId="0000004C" w14:textId="77777777" w:rsidR="006B1CE9" w:rsidRDefault="006B1CE9">
      <w:pPr>
        <w:spacing w:line="276" w:lineRule="auto"/>
        <w:ind w:left="425" w:right="138"/>
        <w:rPr>
          <w:rFonts w:ascii="Arial" w:eastAsia="Arial" w:hAnsi="Arial" w:cs="Arial"/>
          <w:b/>
          <w:sz w:val="24"/>
          <w:szCs w:val="24"/>
        </w:rPr>
      </w:pPr>
    </w:p>
    <w:p w14:paraId="0000004D" w14:textId="77777777" w:rsidR="006B1CE9" w:rsidRDefault="006B1CE9">
      <w:pPr>
        <w:spacing w:line="276" w:lineRule="auto"/>
        <w:ind w:left="425" w:right="138"/>
        <w:rPr>
          <w:rFonts w:ascii="Arial" w:eastAsia="Arial" w:hAnsi="Arial" w:cs="Arial"/>
          <w:b/>
          <w:sz w:val="24"/>
          <w:szCs w:val="24"/>
        </w:rPr>
      </w:pPr>
    </w:p>
    <w:p w14:paraId="0000004E" w14:textId="77777777" w:rsidR="006B1CE9" w:rsidRDefault="006B1CE9">
      <w:pPr>
        <w:spacing w:line="276" w:lineRule="auto"/>
        <w:ind w:left="425" w:right="138"/>
        <w:rPr>
          <w:rFonts w:ascii="Arial" w:eastAsia="Arial" w:hAnsi="Arial" w:cs="Arial"/>
          <w:b/>
          <w:sz w:val="24"/>
          <w:szCs w:val="24"/>
        </w:rPr>
      </w:pPr>
    </w:p>
    <w:p w14:paraId="0000004F" w14:textId="77777777" w:rsidR="006B1CE9" w:rsidRDefault="00214638">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0" w14:textId="77777777" w:rsidR="006B1CE9" w:rsidRDefault="0021463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1" w14:textId="77777777" w:rsidR="006B1CE9" w:rsidRDefault="00214638">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2" w14:textId="77777777" w:rsidR="006B1CE9" w:rsidRDefault="00214638">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3" w14:textId="77777777" w:rsidR="006B1CE9" w:rsidRDefault="00214638">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4" w14:textId="77777777" w:rsidR="006B1CE9" w:rsidRDefault="00214638">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5" w14:textId="77777777" w:rsidR="006B1CE9" w:rsidRDefault="002146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6" w14:textId="77777777" w:rsidR="006B1CE9" w:rsidRDefault="002146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7" w14:textId="77777777" w:rsidR="006B1CE9" w:rsidRDefault="0021463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8" w14:textId="77777777" w:rsidR="006B1CE9" w:rsidRDefault="002146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9" w14:textId="77777777" w:rsidR="006B1CE9" w:rsidRDefault="002146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A" w14:textId="77777777" w:rsidR="006B1CE9" w:rsidRDefault="00214638">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B" w14:textId="77777777" w:rsidR="006B1CE9" w:rsidRDefault="00214638">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C" w14:textId="77777777" w:rsidR="006B1CE9" w:rsidRDefault="00214638">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D" w14:textId="77777777" w:rsidR="006B1CE9" w:rsidRDefault="00214638">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5E" w14:textId="77777777" w:rsidR="006B1CE9" w:rsidRDefault="00214638">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F" w14:textId="77777777" w:rsidR="006B1CE9" w:rsidRDefault="00214638">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0" w14:textId="77777777" w:rsidR="006B1CE9" w:rsidRDefault="00214638">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Especial. Este instrumento tiene como objetivo principal valorar los conocimientos y aptitudes que se consideran necesarias para el ejercicio de la función Directiva en Educación Especial en los aspirantes a ser seleccionados conforme a los Perfiles profesionales que constituyen el referente oficial en cuanto a las características que se consideran esenciales para el desempeño de esta función.</w:t>
      </w:r>
    </w:p>
    <w:p w14:paraId="00000061" w14:textId="77777777" w:rsidR="006B1CE9" w:rsidRDefault="00214638">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Especial.</w:t>
      </w:r>
    </w:p>
    <w:p w14:paraId="00000062" w14:textId="77777777" w:rsidR="006B1CE9" w:rsidRDefault="006B1CE9">
      <w:pPr>
        <w:spacing w:line="360" w:lineRule="auto"/>
        <w:ind w:left="425" w:right="138"/>
        <w:jc w:val="both"/>
        <w:rPr>
          <w:rFonts w:ascii="Arial" w:eastAsia="Arial" w:hAnsi="Arial" w:cs="Arial"/>
          <w:sz w:val="24"/>
          <w:szCs w:val="24"/>
        </w:rPr>
      </w:pPr>
    </w:p>
    <w:p w14:paraId="00000063" w14:textId="77777777" w:rsidR="006B1CE9" w:rsidRDefault="006B1CE9">
      <w:pPr>
        <w:spacing w:line="276" w:lineRule="auto"/>
        <w:ind w:right="138"/>
        <w:rPr>
          <w:rFonts w:ascii="Arial" w:eastAsia="Arial" w:hAnsi="Arial" w:cs="Arial"/>
          <w:b/>
          <w:sz w:val="30"/>
          <w:szCs w:val="30"/>
        </w:rPr>
      </w:pPr>
    </w:p>
    <w:p w14:paraId="00000064" w14:textId="77777777" w:rsidR="006B1CE9" w:rsidRDefault="00214638">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5" w14:textId="77777777" w:rsidR="006B1CE9" w:rsidRDefault="006B1CE9">
      <w:pPr>
        <w:spacing w:line="276" w:lineRule="auto"/>
        <w:ind w:left="425" w:right="138"/>
        <w:rPr>
          <w:rFonts w:ascii="Arial" w:eastAsia="Arial" w:hAnsi="Arial" w:cs="Arial"/>
          <w:sz w:val="24"/>
          <w:szCs w:val="24"/>
        </w:rPr>
      </w:pPr>
    </w:p>
    <w:p w14:paraId="00000066"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7"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8"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14:paraId="00000069"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Contar con una categoría registrada en el catálogo respectivo</w:t>
      </w:r>
    </w:p>
    <w:p w14:paraId="0000006A"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Tener la categoría de antecedente inmediata inferior a la que aspira promoverse, correspondiente al nivel y servicio educativo en el que se desempeña. Debiendo ostentarla con código 10, o su equivalente en las entidades federativas</w:t>
      </w:r>
    </w:p>
    <w:p w14:paraId="0000006B"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Participar en la promoción vertical con una categoría, acorde al centro de trabajo al que está adscrito</w:t>
      </w:r>
    </w:p>
    <w:p w14:paraId="0000006C"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Desempeñar la función que corresponde a su categoría: </w:t>
      </w:r>
    </w:p>
    <w:p w14:paraId="0000006D" w14:textId="77777777" w:rsidR="006B1CE9" w:rsidRDefault="00214638">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Docente</w:t>
      </w:r>
    </w:p>
    <w:p w14:paraId="0000006E" w14:textId="77777777" w:rsidR="006B1CE9" w:rsidRDefault="00214638">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Subdirector</w:t>
      </w:r>
    </w:p>
    <w:p w14:paraId="0000006F" w14:textId="77777777" w:rsidR="006B1CE9" w:rsidRDefault="00214638">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Director</w:t>
      </w:r>
    </w:p>
    <w:p w14:paraId="00000070" w14:textId="77777777" w:rsidR="006B1CE9" w:rsidRDefault="00214638">
      <w:pPr>
        <w:numPr>
          <w:ilvl w:val="1"/>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Supervisor</w:t>
      </w:r>
    </w:p>
    <w:p w14:paraId="00000071"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el título de licenciatura conforme lo determine el perfil correspondiente</w:t>
      </w:r>
    </w:p>
    <w:p w14:paraId="00000072"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Cubrir el perfil establecido para la categoría a la que desea promoverse</w:t>
      </w:r>
    </w:p>
    <w:p w14:paraId="00000073"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cuatro años en la función docente y nombramiento definitivo para participar en el proceso de selección a la categoría inmediata superior</w:t>
      </w:r>
    </w:p>
    <w:p w14:paraId="00000074"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experiencia mínima de cinco años en la función directiva o de supervisión y nombramiento definitivo para participar en el proceso de selección a la categoría inmediata superior</w:t>
      </w:r>
    </w:p>
    <w:p w14:paraId="00000075"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Cumplir con las reglas de compatibilidad que emita la Unidad del Sistema, si cuenta con dos o más plazas, tanto previo a su participación en el proceso de selección a funciones de dirección o de supervisión como al promoverse, si es el caso</w:t>
      </w:r>
    </w:p>
    <w:p w14:paraId="00000076" w14:textId="77777777" w:rsidR="006B1CE9" w:rsidRDefault="00214638">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Contar con un mínimo de 30 horas/semana/mes, en el caso del personal docente de nivel de secundaria, y</w:t>
      </w:r>
    </w:p>
    <w:p w14:paraId="00000077" w14:textId="77777777" w:rsidR="006B1CE9" w:rsidRDefault="00214638">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Participar con un mínimo de 25 horas/semana/mes, en el caso del personal de educación física. </w:t>
      </w:r>
    </w:p>
    <w:p w14:paraId="00000078"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14:paraId="00000079" w14:textId="77777777" w:rsidR="006B1CE9" w:rsidRDefault="0021463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Los resultados del SISAP</w:t>
      </w:r>
    </w:p>
    <w:p w14:paraId="0000007A" w14:textId="77777777" w:rsidR="006B1CE9" w:rsidRDefault="0021463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antigüedad en el servicio.</w:t>
      </w:r>
    </w:p>
    <w:p w14:paraId="0000007B" w14:textId="77777777" w:rsidR="006B1CE9" w:rsidRDefault="00214638">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experiencia y tiempo de trabajo en zonas de marginación, pobreza y descomposición social.</w:t>
      </w:r>
    </w:p>
    <w:p w14:paraId="0000007C" w14:textId="77777777" w:rsidR="006B1CE9" w:rsidRDefault="00214638">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El reconocimiento al buen desempeño por la comunidad educativa, con la participación de madres y padres de familia o tutores, alumnos y compañeros de trabajo.</w:t>
      </w:r>
    </w:p>
    <w:p w14:paraId="0000007D" w14:textId="77777777" w:rsidR="006B1CE9" w:rsidRDefault="006B1CE9">
      <w:pPr>
        <w:spacing w:line="360" w:lineRule="auto"/>
        <w:ind w:right="138"/>
        <w:jc w:val="both"/>
        <w:rPr>
          <w:rFonts w:ascii="Arial" w:eastAsia="Arial" w:hAnsi="Arial" w:cs="Arial"/>
          <w:b/>
          <w:sz w:val="24"/>
          <w:szCs w:val="24"/>
        </w:rPr>
      </w:pPr>
    </w:p>
    <w:p w14:paraId="0000007E" w14:textId="77777777" w:rsidR="006B1CE9" w:rsidRDefault="00214638">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F"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80"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81" w14:textId="77777777" w:rsidR="006B1CE9" w:rsidRDefault="002146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82" w14:textId="77777777" w:rsidR="006B1CE9" w:rsidRDefault="002146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83" w14:textId="77777777" w:rsidR="006B1CE9" w:rsidRDefault="002146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84" w14:textId="77777777" w:rsidR="006B1CE9" w:rsidRDefault="002146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85" w14:textId="77777777" w:rsidR="006B1CE9" w:rsidRDefault="002146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86" w14:textId="77777777" w:rsidR="006B1CE9" w:rsidRDefault="002146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7" w14:textId="77777777" w:rsidR="006B1CE9" w:rsidRDefault="00214638">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8" w14:textId="77777777" w:rsidR="006B1CE9" w:rsidRDefault="00214638">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9"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14:paraId="0000008A" w14:textId="77777777" w:rsidR="006B1CE9" w:rsidRDefault="006B1CE9">
      <w:pPr>
        <w:spacing w:line="360" w:lineRule="auto"/>
        <w:ind w:right="138"/>
        <w:jc w:val="both"/>
        <w:rPr>
          <w:rFonts w:ascii="Arial" w:eastAsia="Arial" w:hAnsi="Arial" w:cs="Arial"/>
          <w:sz w:val="24"/>
          <w:szCs w:val="24"/>
        </w:rPr>
      </w:pPr>
    </w:p>
    <w:p w14:paraId="0000008B" w14:textId="77777777" w:rsidR="006B1CE9" w:rsidRDefault="006B1CE9">
      <w:pPr>
        <w:spacing w:line="360" w:lineRule="auto"/>
        <w:ind w:right="138"/>
        <w:jc w:val="both"/>
        <w:rPr>
          <w:rFonts w:ascii="Arial" w:eastAsia="Arial" w:hAnsi="Arial" w:cs="Arial"/>
          <w:sz w:val="24"/>
          <w:szCs w:val="24"/>
        </w:rPr>
      </w:pPr>
    </w:p>
    <w:p w14:paraId="0000008C" w14:textId="77777777" w:rsidR="006B1CE9" w:rsidRDefault="00214638">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D" w14:textId="77777777" w:rsidR="006B1CE9" w:rsidRDefault="00214638">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perior, diferenciadas para el personal que desempeña funciones docentes, técnico docente, de asesoría técnico pedagógica, funciones directivas y de supervisión.</w:t>
      </w:r>
    </w:p>
    <w:p w14:paraId="0000008E"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Vertical a funciones de Dirección en Educación Especial,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F"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práctica y desarrollo profesional con apego a los principios filosóficos, éticos y legales de la Educación Mexicana.</w:t>
      </w:r>
    </w:p>
    <w:p w14:paraId="00000090"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1.1.  Asume en el ejercicio de su función directiva que la educación es un derecho fundamental de niñas, niños y adolescentes para su desarrollo integral y bienestar, a la vez que es un medio para la transformación social del país.</w:t>
      </w:r>
    </w:p>
    <w:p w14:paraId="00000091"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ab/>
        <w:t>Criterio 1.2. Impulsa que toda la comunidad escolar establezca relaciones interpersonales armónicas y pacíficas centradas en la dignidad de las personas y el respeto a los derechos humanos.</w:t>
      </w:r>
    </w:p>
    <w:p w14:paraId="00000092"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w:t>
      </w:r>
    </w:p>
    <w:p w14:paraId="00000093"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2.- Dominio II. Reconoce la importancia de su función para construir de manera colectiva una cultura escolar centrada en la equidad, la inclusión, la interculturalidad y la excelencia.</w:t>
      </w:r>
    </w:p>
    <w:p w14:paraId="00000094"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la cultura escolar del plantel educativo y las características sociales, culturales y lingüísticas de la comunidad en la que se ubica la escuela.</w:t>
      </w:r>
    </w:p>
    <w:p w14:paraId="00000095"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96"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97"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3.- Dominio III. Organiza el funcionamiento de la escuela como un espacio para la formación integral de niñas, niños y adolescentes.</w:t>
      </w:r>
    </w:p>
    <w:p w14:paraId="00000098"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99"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w:t>
      </w:r>
    </w:p>
    <w:p w14:paraId="0000009A" w14:textId="77777777" w:rsidR="006B1CE9" w:rsidRDefault="00214638">
      <w:pPr>
        <w:spacing w:line="360" w:lineRule="auto"/>
        <w:ind w:right="138"/>
        <w:jc w:val="both"/>
        <w:rPr>
          <w:rFonts w:ascii="Arial" w:eastAsia="Arial" w:hAnsi="Arial" w:cs="Arial"/>
          <w:sz w:val="24"/>
          <w:szCs w:val="24"/>
        </w:rPr>
      </w:pPr>
      <w:r>
        <w:rPr>
          <w:rFonts w:ascii="Arial" w:eastAsia="Arial" w:hAnsi="Arial" w:cs="Arial"/>
          <w:sz w:val="24"/>
          <w:szCs w:val="24"/>
        </w:rPr>
        <w:t>4.- Dominio IV. Propicia la corresponsabilidad de la escuela con las familias, la comunidad y las autoridades educativas para favorecer la formación integral y el bienestar de los alumnos.</w:t>
      </w:r>
    </w:p>
    <w:p w14:paraId="0000009B"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4.1. Promueve la participación corresponsable de las familias y la comunidad en la labor educativa de la escuela, con base en el diálogo, el respeto y la confianza.</w:t>
      </w:r>
    </w:p>
    <w:p w14:paraId="0000009C"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w:t>
      </w:r>
    </w:p>
    <w:p w14:paraId="0000009D" w14:textId="77777777" w:rsidR="006B1CE9" w:rsidRDefault="00214638">
      <w:pPr>
        <w:spacing w:line="360" w:lineRule="auto"/>
        <w:ind w:left="708" w:right="138"/>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9E" w14:textId="77777777" w:rsidR="006B1CE9" w:rsidRDefault="006B1CE9">
      <w:pPr>
        <w:spacing w:line="360" w:lineRule="auto"/>
        <w:ind w:right="138"/>
        <w:rPr>
          <w:rFonts w:ascii="Arial" w:eastAsia="Arial" w:hAnsi="Arial" w:cs="Arial"/>
          <w:sz w:val="24"/>
          <w:szCs w:val="24"/>
          <w:highlight w:val="yellow"/>
        </w:rPr>
      </w:pPr>
    </w:p>
    <w:p w14:paraId="0000009F" w14:textId="77777777" w:rsidR="006B1CE9" w:rsidRDefault="006B1CE9">
      <w:pPr>
        <w:spacing w:line="276" w:lineRule="auto"/>
        <w:ind w:left="425" w:right="138"/>
        <w:rPr>
          <w:rFonts w:ascii="Arial" w:eastAsia="Arial" w:hAnsi="Arial" w:cs="Arial"/>
          <w:b/>
          <w:sz w:val="24"/>
          <w:szCs w:val="24"/>
        </w:rPr>
      </w:pPr>
    </w:p>
    <w:p w14:paraId="000000A0" w14:textId="77777777" w:rsidR="006B1CE9" w:rsidRDefault="006B1CE9">
      <w:pPr>
        <w:spacing w:line="276" w:lineRule="auto"/>
        <w:ind w:left="425" w:right="138"/>
        <w:rPr>
          <w:rFonts w:ascii="Arial" w:eastAsia="Arial" w:hAnsi="Arial" w:cs="Arial"/>
          <w:b/>
          <w:sz w:val="24"/>
          <w:szCs w:val="24"/>
        </w:rPr>
      </w:pPr>
    </w:p>
    <w:p w14:paraId="000000A1" w14:textId="77777777" w:rsidR="006B1CE9" w:rsidRDefault="006B1CE9">
      <w:pPr>
        <w:spacing w:line="276" w:lineRule="auto"/>
        <w:ind w:left="425" w:right="138"/>
        <w:rPr>
          <w:rFonts w:ascii="Arial" w:eastAsia="Arial" w:hAnsi="Arial" w:cs="Arial"/>
          <w:b/>
          <w:sz w:val="24"/>
          <w:szCs w:val="24"/>
        </w:rPr>
      </w:pPr>
    </w:p>
    <w:p w14:paraId="000000A2" w14:textId="77777777" w:rsidR="006B1CE9" w:rsidRDefault="006B1CE9">
      <w:pPr>
        <w:spacing w:line="276" w:lineRule="auto"/>
        <w:ind w:left="425" w:right="138"/>
        <w:rPr>
          <w:rFonts w:ascii="Arial" w:eastAsia="Arial" w:hAnsi="Arial" w:cs="Arial"/>
          <w:b/>
          <w:sz w:val="24"/>
          <w:szCs w:val="24"/>
        </w:rPr>
      </w:pPr>
    </w:p>
    <w:p w14:paraId="000000A3" w14:textId="77777777" w:rsidR="006B1CE9" w:rsidRDefault="006B1CE9">
      <w:pPr>
        <w:spacing w:line="276" w:lineRule="auto"/>
        <w:ind w:left="425" w:right="138"/>
        <w:rPr>
          <w:rFonts w:ascii="Arial" w:eastAsia="Arial" w:hAnsi="Arial" w:cs="Arial"/>
          <w:b/>
          <w:sz w:val="24"/>
          <w:szCs w:val="24"/>
        </w:rPr>
      </w:pPr>
    </w:p>
    <w:p w14:paraId="000000A4" w14:textId="7A8356F6" w:rsidR="006B1CE9" w:rsidRDefault="006B1CE9">
      <w:pPr>
        <w:spacing w:line="276" w:lineRule="auto"/>
        <w:ind w:right="138"/>
        <w:rPr>
          <w:rFonts w:ascii="Arial" w:eastAsia="Arial" w:hAnsi="Arial" w:cs="Arial"/>
          <w:b/>
          <w:sz w:val="24"/>
          <w:szCs w:val="24"/>
        </w:rPr>
      </w:pPr>
    </w:p>
    <w:p w14:paraId="1BAC271C" w14:textId="36652DDF" w:rsidR="000D2FEE" w:rsidRDefault="000D2FEE">
      <w:pPr>
        <w:spacing w:line="276" w:lineRule="auto"/>
        <w:ind w:right="138"/>
        <w:rPr>
          <w:rFonts w:ascii="Arial" w:eastAsia="Arial" w:hAnsi="Arial" w:cs="Arial"/>
          <w:b/>
          <w:sz w:val="24"/>
          <w:szCs w:val="24"/>
        </w:rPr>
      </w:pPr>
    </w:p>
    <w:p w14:paraId="629D8F8A" w14:textId="51987E91" w:rsidR="000D2FEE" w:rsidRDefault="000D2FEE">
      <w:pPr>
        <w:spacing w:line="276" w:lineRule="auto"/>
        <w:ind w:right="138"/>
        <w:rPr>
          <w:rFonts w:ascii="Arial" w:eastAsia="Arial" w:hAnsi="Arial" w:cs="Arial"/>
          <w:b/>
          <w:sz w:val="24"/>
          <w:szCs w:val="24"/>
        </w:rPr>
      </w:pPr>
    </w:p>
    <w:p w14:paraId="623C6DEB" w14:textId="4351CA21" w:rsidR="000D2FEE" w:rsidRDefault="000D2FEE">
      <w:pPr>
        <w:spacing w:line="276" w:lineRule="auto"/>
        <w:ind w:right="138"/>
        <w:rPr>
          <w:rFonts w:ascii="Arial" w:eastAsia="Arial" w:hAnsi="Arial" w:cs="Arial"/>
          <w:b/>
          <w:sz w:val="24"/>
          <w:szCs w:val="24"/>
        </w:rPr>
      </w:pPr>
    </w:p>
    <w:p w14:paraId="33C43433" w14:textId="091344B3" w:rsidR="000D2FEE" w:rsidRDefault="000D2FEE">
      <w:pPr>
        <w:spacing w:line="276" w:lineRule="auto"/>
        <w:ind w:right="138"/>
        <w:rPr>
          <w:rFonts w:ascii="Arial" w:eastAsia="Arial" w:hAnsi="Arial" w:cs="Arial"/>
          <w:b/>
          <w:sz w:val="24"/>
          <w:szCs w:val="24"/>
        </w:rPr>
      </w:pPr>
    </w:p>
    <w:p w14:paraId="433F3509" w14:textId="6AE261F9" w:rsidR="000D2FEE" w:rsidRDefault="000D2FEE">
      <w:pPr>
        <w:spacing w:line="276" w:lineRule="auto"/>
        <w:ind w:right="138"/>
        <w:rPr>
          <w:rFonts w:ascii="Arial" w:eastAsia="Arial" w:hAnsi="Arial" w:cs="Arial"/>
          <w:b/>
          <w:sz w:val="24"/>
          <w:szCs w:val="24"/>
        </w:rPr>
      </w:pPr>
    </w:p>
    <w:p w14:paraId="09D58725" w14:textId="5FAE4951" w:rsidR="000D2FEE" w:rsidRDefault="000D2FEE">
      <w:pPr>
        <w:spacing w:line="276" w:lineRule="auto"/>
        <w:ind w:right="138"/>
        <w:rPr>
          <w:rFonts w:ascii="Arial" w:eastAsia="Arial" w:hAnsi="Arial" w:cs="Arial"/>
          <w:b/>
          <w:sz w:val="24"/>
          <w:szCs w:val="24"/>
        </w:rPr>
      </w:pPr>
    </w:p>
    <w:p w14:paraId="3C3F8F14" w14:textId="6D60C642" w:rsidR="000D2FEE" w:rsidRDefault="000D2FEE">
      <w:pPr>
        <w:spacing w:line="276" w:lineRule="auto"/>
        <w:ind w:right="138"/>
        <w:rPr>
          <w:rFonts w:ascii="Arial" w:eastAsia="Arial" w:hAnsi="Arial" w:cs="Arial"/>
          <w:b/>
          <w:sz w:val="24"/>
          <w:szCs w:val="24"/>
        </w:rPr>
      </w:pPr>
    </w:p>
    <w:p w14:paraId="34A2C392" w14:textId="63357999" w:rsidR="000D2FEE" w:rsidRDefault="000D2FEE">
      <w:pPr>
        <w:spacing w:line="276" w:lineRule="auto"/>
        <w:ind w:right="138"/>
        <w:rPr>
          <w:rFonts w:ascii="Arial" w:eastAsia="Arial" w:hAnsi="Arial" w:cs="Arial"/>
          <w:b/>
          <w:sz w:val="24"/>
          <w:szCs w:val="24"/>
        </w:rPr>
      </w:pPr>
    </w:p>
    <w:p w14:paraId="1586E051" w14:textId="72582EF5" w:rsidR="000D2FEE" w:rsidRDefault="000D2FEE">
      <w:pPr>
        <w:spacing w:line="276" w:lineRule="auto"/>
        <w:ind w:right="138"/>
        <w:rPr>
          <w:rFonts w:ascii="Arial" w:eastAsia="Arial" w:hAnsi="Arial" w:cs="Arial"/>
          <w:b/>
          <w:sz w:val="24"/>
          <w:szCs w:val="24"/>
        </w:rPr>
      </w:pPr>
    </w:p>
    <w:p w14:paraId="3C0E5B4D" w14:textId="0DD15AD7" w:rsidR="000D2FEE" w:rsidRDefault="000D2FEE">
      <w:pPr>
        <w:spacing w:line="276" w:lineRule="auto"/>
        <w:ind w:right="138"/>
        <w:rPr>
          <w:rFonts w:ascii="Arial" w:eastAsia="Arial" w:hAnsi="Arial" w:cs="Arial"/>
          <w:b/>
          <w:sz w:val="24"/>
          <w:szCs w:val="24"/>
        </w:rPr>
      </w:pPr>
    </w:p>
    <w:p w14:paraId="3396909F" w14:textId="3236E52D" w:rsidR="000D2FEE" w:rsidRDefault="000D2FEE">
      <w:pPr>
        <w:spacing w:line="276" w:lineRule="auto"/>
        <w:ind w:right="138"/>
        <w:rPr>
          <w:rFonts w:ascii="Arial" w:eastAsia="Arial" w:hAnsi="Arial" w:cs="Arial"/>
          <w:b/>
          <w:sz w:val="24"/>
          <w:szCs w:val="24"/>
        </w:rPr>
      </w:pPr>
    </w:p>
    <w:p w14:paraId="7F02B8C6" w14:textId="2677846F" w:rsidR="000D2FEE" w:rsidRDefault="000D2FEE">
      <w:pPr>
        <w:spacing w:line="276" w:lineRule="auto"/>
        <w:ind w:right="138"/>
        <w:rPr>
          <w:rFonts w:ascii="Arial" w:eastAsia="Arial" w:hAnsi="Arial" w:cs="Arial"/>
          <w:b/>
          <w:sz w:val="24"/>
          <w:szCs w:val="24"/>
        </w:rPr>
      </w:pPr>
    </w:p>
    <w:p w14:paraId="52205D95" w14:textId="77777777" w:rsidR="000D2FEE" w:rsidRDefault="000D2FEE">
      <w:pPr>
        <w:spacing w:line="276" w:lineRule="auto"/>
        <w:ind w:right="138"/>
        <w:rPr>
          <w:rFonts w:ascii="Arial" w:eastAsia="Arial" w:hAnsi="Arial" w:cs="Arial"/>
          <w:b/>
          <w:sz w:val="24"/>
          <w:szCs w:val="24"/>
        </w:rPr>
      </w:pPr>
    </w:p>
    <w:p w14:paraId="000000A5" w14:textId="1FA0E524" w:rsidR="006B1CE9" w:rsidRDefault="00214638">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A6" w14:textId="77777777" w:rsidR="006B1CE9" w:rsidRDefault="00214638">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A7" w14:textId="77777777" w:rsidR="006B1CE9" w:rsidRDefault="00214638">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A8" w14:textId="77777777" w:rsidR="006B1CE9" w:rsidRDefault="00214638">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A9" w14:textId="77777777" w:rsidR="006B1CE9" w:rsidRDefault="00214638">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AA" w14:textId="77777777" w:rsidR="006B1CE9" w:rsidRDefault="00214638">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AB" w14:textId="77777777" w:rsidR="006B1CE9" w:rsidRDefault="00214638">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habilidades a responder por los aspirantes a obtener una Promoción Vertical a funciones directivas en educación especial,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14:paraId="000000AC" w14:textId="77777777" w:rsidR="006B1CE9" w:rsidRDefault="00214638">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directiva en educación especial, que requiere del aspirante el estar familiarizado con el vasto conjunto de recursos y estrategias diseñadas para la atención de estudiantes con necesidades educativas especiales, así como una alta sensibilidad para la detección de estas necesidades y la flexibilidad necesaria para ajustar su práctica en aras de atenderlas, promoviendo en todo momento un </w:t>
      </w:r>
      <w:r>
        <w:rPr>
          <w:rFonts w:ascii="Arial" w:eastAsia="Arial" w:hAnsi="Arial" w:cs="Arial"/>
          <w:sz w:val="24"/>
          <w:szCs w:val="24"/>
        </w:rPr>
        <w:lastRenderedPageBreak/>
        <w:t xml:space="preserve">ambiente de aprendizaje equitativo, inclusivo y en contacto con las características y necesidades de los estudiantes, (Manzano, 1994; Castanedo, 1997; Redruello &amp; Sánchez, 2002; </w:t>
      </w:r>
      <w:r>
        <w:rPr>
          <w:rFonts w:ascii="Arial" w:eastAsia="Arial" w:hAnsi="Arial" w:cs="Arial"/>
          <w:color w:val="222222"/>
          <w:sz w:val="24"/>
          <w:szCs w:val="24"/>
          <w:highlight w:val="white"/>
        </w:rPr>
        <w:t>Schewe, 2017</w:t>
      </w:r>
      <w:r>
        <w:rPr>
          <w:rFonts w:ascii="Arial" w:eastAsia="Arial" w:hAnsi="Arial" w:cs="Arial"/>
          <w:sz w:val="24"/>
          <w:szCs w:val="24"/>
        </w:rPr>
        <w:t>)</w:t>
      </w:r>
    </w:p>
    <w:p w14:paraId="000000AD" w14:textId="77777777" w:rsidR="006B1CE9" w:rsidRDefault="006B1CE9">
      <w:pPr>
        <w:spacing w:line="276" w:lineRule="auto"/>
        <w:ind w:right="138"/>
        <w:rPr>
          <w:rFonts w:ascii="Arial" w:eastAsia="Arial" w:hAnsi="Arial" w:cs="Arial"/>
          <w:sz w:val="30"/>
          <w:szCs w:val="30"/>
        </w:rPr>
      </w:pPr>
    </w:p>
    <w:p w14:paraId="000000AE" w14:textId="77777777" w:rsidR="006B1CE9" w:rsidRDefault="006B1CE9">
      <w:pPr>
        <w:spacing w:line="276" w:lineRule="auto"/>
        <w:ind w:right="138"/>
        <w:rPr>
          <w:rFonts w:ascii="Arial" w:eastAsia="Arial" w:hAnsi="Arial" w:cs="Arial"/>
          <w:sz w:val="30"/>
          <w:szCs w:val="30"/>
        </w:rPr>
      </w:pPr>
    </w:p>
    <w:p w14:paraId="000000AF" w14:textId="77777777" w:rsidR="006B1CE9" w:rsidRDefault="006B1CE9">
      <w:pPr>
        <w:spacing w:line="276" w:lineRule="auto"/>
        <w:ind w:right="138"/>
        <w:rPr>
          <w:rFonts w:ascii="Arial" w:eastAsia="Arial" w:hAnsi="Arial" w:cs="Arial"/>
          <w:sz w:val="30"/>
          <w:szCs w:val="30"/>
        </w:rPr>
      </w:pPr>
    </w:p>
    <w:p w14:paraId="000000B0" w14:textId="77777777" w:rsidR="006B1CE9" w:rsidRDefault="006B1CE9">
      <w:pPr>
        <w:spacing w:line="276" w:lineRule="auto"/>
        <w:ind w:right="138"/>
        <w:rPr>
          <w:rFonts w:ascii="Arial" w:eastAsia="Arial" w:hAnsi="Arial" w:cs="Arial"/>
          <w:sz w:val="30"/>
          <w:szCs w:val="30"/>
        </w:rPr>
      </w:pPr>
    </w:p>
    <w:p w14:paraId="000000B1" w14:textId="77777777" w:rsidR="006B1CE9" w:rsidRDefault="006B1CE9">
      <w:pPr>
        <w:spacing w:line="276" w:lineRule="auto"/>
        <w:ind w:right="138"/>
        <w:rPr>
          <w:rFonts w:ascii="Arial" w:eastAsia="Arial" w:hAnsi="Arial" w:cs="Arial"/>
          <w:sz w:val="30"/>
          <w:szCs w:val="30"/>
        </w:rPr>
      </w:pPr>
    </w:p>
    <w:p w14:paraId="000000B2" w14:textId="77777777" w:rsidR="006B1CE9" w:rsidRDefault="006B1CE9">
      <w:pPr>
        <w:spacing w:line="276" w:lineRule="auto"/>
        <w:ind w:right="138"/>
        <w:rPr>
          <w:rFonts w:ascii="Arial" w:eastAsia="Arial" w:hAnsi="Arial" w:cs="Arial"/>
          <w:sz w:val="30"/>
          <w:szCs w:val="30"/>
        </w:rPr>
      </w:pPr>
    </w:p>
    <w:p w14:paraId="000000B3" w14:textId="77777777" w:rsidR="006B1CE9" w:rsidRDefault="006B1CE9">
      <w:pPr>
        <w:spacing w:line="276" w:lineRule="auto"/>
        <w:ind w:right="138"/>
        <w:rPr>
          <w:rFonts w:ascii="Arial" w:eastAsia="Arial" w:hAnsi="Arial" w:cs="Arial"/>
          <w:sz w:val="30"/>
          <w:szCs w:val="30"/>
        </w:rPr>
      </w:pPr>
    </w:p>
    <w:p w14:paraId="000000B4" w14:textId="77777777" w:rsidR="006B1CE9" w:rsidRDefault="006B1CE9">
      <w:pPr>
        <w:spacing w:line="276" w:lineRule="auto"/>
        <w:ind w:right="138"/>
        <w:rPr>
          <w:rFonts w:ascii="Arial" w:eastAsia="Arial" w:hAnsi="Arial" w:cs="Arial"/>
          <w:sz w:val="30"/>
          <w:szCs w:val="30"/>
        </w:rPr>
      </w:pPr>
    </w:p>
    <w:p w14:paraId="000000B5" w14:textId="77777777" w:rsidR="006B1CE9" w:rsidRDefault="006B1CE9">
      <w:pPr>
        <w:spacing w:line="276" w:lineRule="auto"/>
        <w:ind w:right="138"/>
        <w:rPr>
          <w:rFonts w:ascii="Arial" w:eastAsia="Arial" w:hAnsi="Arial" w:cs="Arial"/>
          <w:sz w:val="30"/>
          <w:szCs w:val="30"/>
        </w:rPr>
      </w:pPr>
    </w:p>
    <w:p w14:paraId="000000B6" w14:textId="77777777" w:rsidR="006B1CE9" w:rsidRDefault="006B1CE9">
      <w:pPr>
        <w:spacing w:line="276" w:lineRule="auto"/>
        <w:ind w:right="138"/>
        <w:rPr>
          <w:rFonts w:ascii="Arial" w:eastAsia="Arial" w:hAnsi="Arial" w:cs="Arial"/>
          <w:sz w:val="30"/>
          <w:szCs w:val="30"/>
        </w:rPr>
      </w:pPr>
    </w:p>
    <w:p w14:paraId="000000B7" w14:textId="77777777" w:rsidR="006B1CE9" w:rsidRDefault="006B1CE9">
      <w:pPr>
        <w:spacing w:line="276" w:lineRule="auto"/>
        <w:ind w:right="138"/>
        <w:rPr>
          <w:rFonts w:ascii="Arial" w:eastAsia="Arial" w:hAnsi="Arial" w:cs="Arial"/>
          <w:sz w:val="30"/>
          <w:szCs w:val="30"/>
        </w:rPr>
      </w:pPr>
    </w:p>
    <w:p w14:paraId="000000B8" w14:textId="77777777" w:rsidR="006B1CE9" w:rsidRDefault="006B1CE9">
      <w:pPr>
        <w:spacing w:line="276" w:lineRule="auto"/>
        <w:ind w:right="138"/>
        <w:rPr>
          <w:rFonts w:ascii="Arial" w:eastAsia="Arial" w:hAnsi="Arial" w:cs="Arial"/>
          <w:sz w:val="30"/>
          <w:szCs w:val="30"/>
        </w:rPr>
      </w:pPr>
    </w:p>
    <w:p w14:paraId="000000B9" w14:textId="77777777" w:rsidR="006B1CE9" w:rsidRDefault="006B1CE9">
      <w:pPr>
        <w:spacing w:line="276" w:lineRule="auto"/>
        <w:ind w:right="138"/>
        <w:rPr>
          <w:rFonts w:ascii="Arial" w:eastAsia="Arial" w:hAnsi="Arial" w:cs="Arial"/>
          <w:sz w:val="30"/>
          <w:szCs w:val="30"/>
        </w:rPr>
      </w:pPr>
    </w:p>
    <w:p w14:paraId="000000BA" w14:textId="77777777" w:rsidR="006B1CE9" w:rsidRDefault="006B1CE9">
      <w:pPr>
        <w:spacing w:line="276" w:lineRule="auto"/>
        <w:ind w:right="138"/>
        <w:rPr>
          <w:rFonts w:ascii="Arial" w:eastAsia="Arial" w:hAnsi="Arial" w:cs="Arial"/>
          <w:sz w:val="30"/>
          <w:szCs w:val="30"/>
        </w:rPr>
      </w:pPr>
    </w:p>
    <w:p w14:paraId="000000BB" w14:textId="3EB2ED01" w:rsidR="006B1CE9" w:rsidRDefault="006B1CE9">
      <w:pPr>
        <w:spacing w:line="276" w:lineRule="auto"/>
        <w:ind w:right="138"/>
        <w:rPr>
          <w:rFonts w:ascii="Arial" w:eastAsia="Arial" w:hAnsi="Arial" w:cs="Arial"/>
          <w:sz w:val="30"/>
          <w:szCs w:val="30"/>
        </w:rPr>
      </w:pPr>
    </w:p>
    <w:p w14:paraId="713B0AF7" w14:textId="01208A23" w:rsidR="000D2FEE" w:rsidRDefault="000D2FEE">
      <w:pPr>
        <w:spacing w:line="276" w:lineRule="auto"/>
        <w:ind w:right="138"/>
        <w:rPr>
          <w:rFonts w:ascii="Arial" w:eastAsia="Arial" w:hAnsi="Arial" w:cs="Arial"/>
          <w:sz w:val="30"/>
          <w:szCs w:val="30"/>
        </w:rPr>
      </w:pPr>
    </w:p>
    <w:p w14:paraId="5860237A" w14:textId="7B3DD317" w:rsidR="000D2FEE" w:rsidRDefault="000D2FEE">
      <w:pPr>
        <w:spacing w:line="276" w:lineRule="auto"/>
        <w:ind w:right="138"/>
        <w:rPr>
          <w:rFonts w:ascii="Arial" w:eastAsia="Arial" w:hAnsi="Arial" w:cs="Arial"/>
          <w:sz w:val="30"/>
          <w:szCs w:val="30"/>
        </w:rPr>
      </w:pPr>
    </w:p>
    <w:p w14:paraId="0DD80182" w14:textId="32BE9E49" w:rsidR="000D2FEE" w:rsidRDefault="000D2FEE">
      <w:pPr>
        <w:spacing w:line="276" w:lineRule="auto"/>
        <w:ind w:right="138"/>
        <w:rPr>
          <w:rFonts w:ascii="Arial" w:eastAsia="Arial" w:hAnsi="Arial" w:cs="Arial"/>
          <w:sz w:val="30"/>
          <w:szCs w:val="30"/>
        </w:rPr>
      </w:pPr>
    </w:p>
    <w:p w14:paraId="55CB29FD" w14:textId="6E16B615" w:rsidR="000D2FEE" w:rsidRDefault="000D2FEE">
      <w:pPr>
        <w:spacing w:line="276" w:lineRule="auto"/>
        <w:ind w:right="138"/>
        <w:rPr>
          <w:rFonts w:ascii="Arial" w:eastAsia="Arial" w:hAnsi="Arial" w:cs="Arial"/>
          <w:sz w:val="30"/>
          <w:szCs w:val="30"/>
        </w:rPr>
      </w:pPr>
    </w:p>
    <w:p w14:paraId="78544866" w14:textId="77777777" w:rsidR="000D2FEE" w:rsidRDefault="000D2FEE">
      <w:pPr>
        <w:spacing w:line="276" w:lineRule="auto"/>
        <w:ind w:right="138"/>
        <w:rPr>
          <w:rFonts w:ascii="Arial" w:eastAsia="Arial" w:hAnsi="Arial" w:cs="Arial"/>
          <w:sz w:val="30"/>
          <w:szCs w:val="30"/>
        </w:rPr>
      </w:pPr>
    </w:p>
    <w:p w14:paraId="000000BC" w14:textId="77777777" w:rsidR="006B1CE9" w:rsidRDefault="006B1CE9">
      <w:pPr>
        <w:spacing w:line="276" w:lineRule="auto"/>
        <w:ind w:right="138"/>
        <w:rPr>
          <w:rFonts w:ascii="Arial" w:eastAsia="Arial" w:hAnsi="Arial" w:cs="Arial"/>
          <w:sz w:val="30"/>
          <w:szCs w:val="30"/>
        </w:rPr>
      </w:pPr>
    </w:p>
    <w:p w14:paraId="000000BD" w14:textId="77777777" w:rsidR="006B1CE9" w:rsidRDefault="00214638">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E" w14:textId="77777777" w:rsidR="006B1CE9" w:rsidRDefault="00214638">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F" w14:textId="77777777" w:rsidR="006B1CE9" w:rsidRDefault="00214638">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0" w14:textId="77777777" w:rsidR="006B1CE9" w:rsidRDefault="00214638">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Castanedo, C. (1997). </w:t>
      </w:r>
      <w:r>
        <w:rPr>
          <w:rFonts w:ascii="Arial" w:eastAsia="Arial" w:hAnsi="Arial" w:cs="Arial"/>
          <w:i/>
          <w:color w:val="222222"/>
          <w:sz w:val="24"/>
          <w:szCs w:val="24"/>
          <w:highlight w:val="white"/>
        </w:rPr>
        <w:t>Bases psicopedagógicas de la educación especial</w:t>
      </w:r>
      <w:r>
        <w:rPr>
          <w:rFonts w:ascii="Arial" w:eastAsia="Arial" w:hAnsi="Arial" w:cs="Arial"/>
          <w:color w:val="222222"/>
          <w:sz w:val="24"/>
          <w:szCs w:val="24"/>
          <w:highlight w:val="white"/>
        </w:rPr>
        <w:t>. Universidad de Oviedo.</w:t>
      </w:r>
    </w:p>
    <w:p w14:paraId="000000C1" w14:textId="77777777" w:rsidR="006B1CE9" w:rsidRPr="000D2FEE" w:rsidRDefault="00214638">
      <w:pPr>
        <w:numPr>
          <w:ilvl w:val="0"/>
          <w:numId w:val="4"/>
        </w:numPr>
        <w:spacing w:after="0" w:line="360" w:lineRule="auto"/>
        <w:jc w:val="both"/>
        <w:rPr>
          <w:rFonts w:ascii="Arial" w:eastAsia="Arial" w:hAnsi="Arial" w:cs="Arial"/>
          <w:color w:val="222222"/>
          <w:sz w:val="24"/>
          <w:szCs w:val="24"/>
          <w:lang w:val="en-US"/>
        </w:rPr>
      </w:pPr>
      <w:r w:rsidRPr="000D2FEE">
        <w:rPr>
          <w:rFonts w:ascii="Arial" w:eastAsia="Arial" w:hAnsi="Arial" w:cs="Arial"/>
          <w:color w:val="222222"/>
          <w:sz w:val="24"/>
          <w:szCs w:val="24"/>
          <w:lang w:val="en-US"/>
        </w:rPr>
        <w:t>Cohen, Y. (2019). The Handbook of Cognition and Assessment; Frameworks, Methodologies, and Applications.</w:t>
      </w:r>
    </w:p>
    <w:p w14:paraId="000000C2" w14:textId="77777777" w:rsidR="006B1CE9" w:rsidRDefault="00214638">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3" w14:textId="77777777" w:rsidR="006B1CE9" w:rsidRDefault="00214638">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Cullen, C. A. (2004). </w:t>
      </w:r>
      <w:r>
        <w:rPr>
          <w:rFonts w:ascii="Arial" w:eastAsia="Arial" w:hAnsi="Arial" w:cs="Arial"/>
          <w:i/>
          <w:color w:val="222222"/>
          <w:sz w:val="24"/>
          <w:szCs w:val="24"/>
          <w:highlight w:val="white"/>
        </w:rPr>
        <w:t>Perfiles ético-políticos de la educación</w:t>
      </w:r>
      <w:r>
        <w:rPr>
          <w:rFonts w:ascii="Arial" w:eastAsia="Arial" w:hAnsi="Arial" w:cs="Arial"/>
          <w:color w:val="222222"/>
          <w:sz w:val="24"/>
          <w:szCs w:val="24"/>
          <w:highlight w:val="white"/>
        </w:rPr>
        <w:t>. Buenos Aires: Paidós.</w:t>
      </w:r>
    </w:p>
    <w:p w14:paraId="000000C4" w14:textId="77777777" w:rsidR="006B1CE9" w:rsidRDefault="00214638">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5" w14:textId="77777777" w:rsidR="006B1CE9" w:rsidRDefault="002146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6" w14:textId="77777777" w:rsidR="006B1CE9" w:rsidRDefault="002146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C7" w14:textId="77777777" w:rsidR="006B1CE9" w:rsidRDefault="00214638">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C8" w14:textId="77777777" w:rsidR="006B1CE9" w:rsidRDefault="00214638">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C9" w14:textId="77777777" w:rsidR="006B1CE9" w:rsidRDefault="00214638">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CA" w14:textId="77777777" w:rsidR="006B1CE9" w:rsidRDefault="00214638">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CB" w14:textId="77777777" w:rsidR="006B1CE9" w:rsidRDefault="00214638">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Filloux, J. C. (2008). </w:t>
      </w:r>
      <w:r>
        <w:rPr>
          <w:rFonts w:ascii="Arial" w:eastAsia="Arial" w:hAnsi="Arial" w:cs="Arial"/>
          <w:i/>
          <w:color w:val="222222"/>
          <w:sz w:val="24"/>
          <w:szCs w:val="24"/>
          <w:highlight w:val="white"/>
        </w:rPr>
        <w:t>Epistimologia, ética y ciencias de la educación</w:t>
      </w:r>
      <w:r>
        <w:rPr>
          <w:rFonts w:ascii="Arial" w:eastAsia="Arial" w:hAnsi="Arial" w:cs="Arial"/>
          <w:color w:val="222222"/>
          <w:sz w:val="24"/>
          <w:szCs w:val="24"/>
          <w:highlight w:val="white"/>
        </w:rPr>
        <w:t xml:space="preserve"> (Vol. 2). Editorial Brujas.</w:t>
      </w:r>
    </w:p>
    <w:p w14:paraId="000000CC" w14:textId="77777777" w:rsidR="006B1CE9" w:rsidRPr="000D2FEE" w:rsidRDefault="00214638">
      <w:pPr>
        <w:numPr>
          <w:ilvl w:val="0"/>
          <w:numId w:val="4"/>
        </w:numPr>
        <w:spacing w:after="0" w:line="360" w:lineRule="auto"/>
        <w:ind w:right="138"/>
        <w:jc w:val="both"/>
        <w:rPr>
          <w:rFonts w:ascii="Arial" w:eastAsia="Arial" w:hAnsi="Arial" w:cs="Arial"/>
          <w:color w:val="222222"/>
          <w:sz w:val="24"/>
          <w:szCs w:val="24"/>
          <w:lang w:val="en-US"/>
        </w:rPr>
      </w:pPr>
      <w:r w:rsidRPr="000D2FEE">
        <w:rPr>
          <w:rFonts w:ascii="Arial" w:eastAsia="Arial" w:hAnsi="Arial" w:cs="Arial"/>
          <w:color w:val="222222"/>
          <w:sz w:val="24"/>
          <w:szCs w:val="24"/>
          <w:lang w:val="en-US"/>
        </w:rPr>
        <w:lastRenderedPageBreak/>
        <w:t xml:space="preserve">Fullan, M. (2007). Educational reform as continuous improvement. </w:t>
      </w:r>
      <w:r w:rsidRPr="000D2FEE">
        <w:rPr>
          <w:rFonts w:ascii="Arial" w:eastAsia="Arial" w:hAnsi="Arial" w:cs="Arial"/>
          <w:i/>
          <w:color w:val="222222"/>
          <w:sz w:val="24"/>
          <w:szCs w:val="24"/>
          <w:lang w:val="en-US"/>
        </w:rPr>
        <w:t>The keys to effective schools: Educational reform as continuous improvement</w:t>
      </w:r>
      <w:r w:rsidRPr="000D2FEE">
        <w:rPr>
          <w:rFonts w:ascii="Arial" w:eastAsia="Arial" w:hAnsi="Arial" w:cs="Arial"/>
          <w:color w:val="222222"/>
          <w:sz w:val="24"/>
          <w:szCs w:val="24"/>
          <w:lang w:val="en-US"/>
        </w:rPr>
        <w:t>, 1-12.}</w:t>
      </w:r>
    </w:p>
    <w:p w14:paraId="000000CD" w14:textId="77777777" w:rsidR="006B1CE9" w:rsidRDefault="00214638">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E" w14:textId="77777777" w:rsidR="006B1CE9" w:rsidRDefault="00214638">
      <w:pPr>
        <w:numPr>
          <w:ilvl w:val="0"/>
          <w:numId w:val="4"/>
        </w:numPr>
        <w:spacing w:after="0" w:line="360" w:lineRule="auto"/>
        <w:jc w:val="both"/>
        <w:rPr>
          <w:rFonts w:ascii="Arial" w:eastAsia="Arial" w:hAnsi="Arial" w:cs="Arial"/>
          <w:color w:val="222222"/>
          <w:sz w:val="24"/>
          <w:szCs w:val="24"/>
        </w:rPr>
      </w:pPr>
      <w:r w:rsidRPr="000D2FEE">
        <w:rPr>
          <w:rFonts w:ascii="Arial" w:eastAsia="Arial" w:hAnsi="Arial" w:cs="Arial"/>
          <w:color w:val="222222"/>
          <w:sz w:val="24"/>
          <w:szCs w:val="24"/>
          <w:lang w:val="en-US"/>
        </w:rPr>
        <w:t xml:space="preserve">Jang, E. E. (2009). Cognitive diagnostic assessment of L2 reading comprehension ability: Validity arguments for Fusion Model application to LanguEdge assessment. </w:t>
      </w:r>
      <w:r>
        <w:rPr>
          <w:rFonts w:ascii="Arial" w:eastAsia="Arial" w:hAnsi="Arial" w:cs="Arial"/>
          <w:color w:val="222222"/>
          <w:sz w:val="24"/>
          <w:szCs w:val="24"/>
        </w:rPr>
        <w:t>Language Testing, 26(1), 031-73.</w:t>
      </w:r>
    </w:p>
    <w:p w14:paraId="000000CF" w14:textId="77777777" w:rsidR="006B1CE9" w:rsidRDefault="00214638">
      <w:pPr>
        <w:numPr>
          <w:ilvl w:val="0"/>
          <w:numId w:val="4"/>
        </w:numPr>
        <w:spacing w:after="0" w:line="360" w:lineRule="auto"/>
        <w:jc w:val="both"/>
        <w:rPr>
          <w:rFonts w:ascii="Arial" w:eastAsia="Arial" w:hAnsi="Arial" w:cs="Arial"/>
          <w:color w:val="222222"/>
          <w:sz w:val="24"/>
          <w:szCs w:val="24"/>
        </w:rPr>
      </w:pPr>
      <w:r w:rsidRPr="000D2FEE">
        <w:rPr>
          <w:rFonts w:ascii="Arial" w:eastAsia="Arial" w:hAnsi="Arial" w:cs="Arial"/>
          <w:color w:val="222222"/>
          <w:sz w:val="24"/>
          <w:szCs w:val="24"/>
          <w:lang w:val="en-US"/>
        </w:rPr>
        <w:t xml:space="preserve">Ketterlin-Geller, L. R., &amp; Yovanoff,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0" w14:textId="77777777" w:rsidR="006B1CE9" w:rsidRDefault="00214638">
      <w:pPr>
        <w:numPr>
          <w:ilvl w:val="0"/>
          <w:numId w:val="4"/>
        </w:numPr>
        <w:spacing w:after="0" w:line="360" w:lineRule="auto"/>
        <w:jc w:val="both"/>
        <w:rPr>
          <w:rFonts w:ascii="Arial" w:eastAsia="Arial" w:hAnsi="Arial" w:cs="Arial"/>
          <w:color w:val="222222"/>
          <w:sz w:val="24"/>
          <w:szCs w:val="24"/>
        </w:rPr>
      </w:pPr>
      <w:r w:rsidRPr="000D2FEE">
        <w:rPr>
          <w:rFonts w:ascii="Arial" w:eastAsia="Arial" w:hAnsi="Arial" w:cs="Arial"/>
          <w:color w:val="222222"/>
          <w:sz w:val="24"/>
          <w:szCs w:val="24"/>
          <w:lang w:val="en-US"/>
        </w:rPr>
        <w:t xml:space="preserve">Leighton, J. &amp; Gierl,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1" w14:textId="77777777" w:rsidR="006B1CE9" w:rsidRDefault="00214638">
      <w:pPr>
        <w:numPr>
          <w:ilvl w:val="0"/>
          <w:numId w:val="4"/>
        </w:numPr>
        <w:spacing w:after="0" w:line="360" w:lineRule="auto"/>
        <w:jc w:val="both"/>
        <w:rPr>
          <w:rFonts w:ascii="Arial" w:eastAsia="Arial" w:hAnsi="Arial" w:cs="Arial"/>
          <w:color w:val="222222"/>
          <w:sz w:val="24"/>
          <w:szCs w:val="24"/>
        </w:rPr>
      </w:pPr>
      <w:r w:rsidRPr="000D2FEE">
        <w:rPr>
          <w:rFonts w:ascii="Arial" w:eastAsia="Arial" w:hAnsi="Arial" w:cs="Arial"/>
          <w:color w:val="222222"/>
          <w:sz w:val="24"/>
          <w:szCs w:val="24"/>
          <w:lang w:val="en-US"/>
        </w:rPr>
        <w:t xml:space="preserve">Lee, Y. W., &amp; Sawaki,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2" w14:textId="77777777" w:rsidR="006B1CE9" w:rsidRDefault="00214638">
      <w:pPr>
        <w:numPr>
          <w:ilvl w:val="0"/>
          <w:numId w:val="4"/>
        </w:numPr>
        <w:spacing w:after="0" w:line="360" w:lineRule="auto"/>
        <w:jc w:val="both"/>
        <w:rPr>
          <w:rFonts w:ascii="Arial" w:eastAsia="Arial" w:hAnsi="Arial" w:cs="Arial"/>
          <w:color w:val="222222"/>
          <w:sz w:val="24"/>
          <w:szCs w:val="24"/>
        </w:rPr>
      </w:pPr>
      <w:r w:rsidRPr="000D2FEE">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3" w14:textId="77777777" w:rsidR="006B1CE9" w:rsidRDefault="00214638">
      <w:pPr>
        <w:numPr>
          <w:ilvl w:val="0"/>
          <w:numId w:val="4"/>
        </w:numPr>
        <w:spacing w:after="0" w:line="360" w:lineRule="auto"/>
        <w:jc w:val="both"/>
        <w:rPr>
          <w:rFonts w:ascii="Arial" w:eastAsia="Arial" w:hAnsi="Arial" w:cs="Arial"/>
          <w:color w:val="222222"/>
          <w:sz w:val="24"/>
          <w:szCs w:val="24"/>
        </w:rPr>
      </w:pPr>
      <w:r w:rsidRPr="000D2FEE">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D4" w14:textId="77777777" w:rsidR="006B1CE9" w:rsidRDefault="00214638">
      <w:pPr>
        <w:numPr>
          <w:ilvl w:val="0"/>
          <w:numId w:val="4"/>
        </w:numPr>
        <w:spacing w:after="0" w:line="360" w:lineRule="auto"/>
        <w:jc w:val="both"/>
        <w:rPr>
          <w:rFonts w:ascii="Arial" w:eastAsia="Arial" w:hAnsi="Arial" w:cs="Arial"/>
          <w:color w:val="222222"/>
          <w:sz w:val="24"/>
          <w:szCs w:val="24"/>
        </w:rPr>
      </w:pPr>
      <w:r w:rsidRPr="000D2FEE">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D5" w14:textId="77777777" w:rsidR="006B1CE9" w:rsidRDefault="00214638">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Manzano, E. S. (1994). </w:t>
      </w:r>
      <w:r>
        <w:rPr>
          <w:rFonts w:ascii="Arial" w:eastAsia="Arial" w:hAnsi="Arial" w:cs="Arial"/>
          <w:i/>
          <w:color w:val="222222"/>
          <w:sz w:val="24"/>
          <w:szCs w:val="24"/>
          <w:highlight w:val="white"/>
        </w:rPr>
        <w:t>Introducción a la educación especial</w:t>
      </w:r>
      <w:r>
        <w:rPr>
          <w:rFonts w:ascii="Arial" w:eastAsia="Arial" w:hAnsi="Arial" w:cs="Arial"/>
          <w:color w:val="222222"/>
          <w:sz w:val="24"/>
          <w:szCs w:val="24"/>
          <w:highlight w:val="white"/>
        </w:rPr>
        <w:t>. Editorial Complutense.</w:t>
      </w:r>
    </w:p>
    <w:p w14:paraId="000000D6" w14:textId="77777777" w:rsidR="006B1CE9" w:rsidRPr="000D2FEE" w:rsidRDefault="00214638">
      <w:pPr>
        <w:numPr>
          <w:ilvl w:val="0"/>
          <w:numId w:val="4"/>
        </w:numPr>
        <w:spacing w:after="0" w:line="360" w:lineRule="auto"/>
        <w:jc w:val="both"/>
        <w:rPr>
          <w:rFonts w:ascii="Arial" w:eastAsia="Arial" w:hAnsi="Arial" w:cs="Arial"/>
          <w:color w:val="222222"/>
          <w:sz w:val="24"/>
          <w:szCs w:val="24"/>
          <w:lang w:val="en-US"/>
        </w:rPr>
      </w:pPr>
      <w:r w:rsidRPr="000D2FEE">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D7" w14:textId="77777777" w:rsidR="006B1CE9" w:rsidRDefault="00214638">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D8" w14:textId="77777777" w:rsidR="006B1CE9" w:rsidRDefault="00214638">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D9" w14:textId="77777777" w:rsidR="006B1CE9" w:rsidRDefault="00214638">
      <w:pPr>
        <w:numPr>
          <w:ilvl w:val="0"/>
          <w:numId w:val="4"/>
        </w:numPr>
        <w:spacing w:after="0" w:line="360" w:lineRule="auto"/>
        <w:jc w:val="both"/>
        <w:rPr>
          <w:rFonts w:ascii="Arial" w:eastAsia="Arial" w:hAnsi="Arial" w:cs="Arial"/>
          <w:color w:val="222222"/>
          <w:sz w:val="24"/>
          <w:szCs w:val="24"/>
          <w:highlight w:val="white"/>
        </w:rPr>
      </w:pPr>
      <w:r w:rsidRPr="000D2FEE">
        <w:rPr>
          <w:rFonts w:ascii="Arial" w:eastAsia="Arial" w:hAnsi="Arial" w:cs="Arial"/>
          <w:color w:val="222222"/>
          <w:sz w:val="24"/>
          <w:szCs w:val="24"/>
          <w:highlight w:val="white"/>
          <w:lang w:val="en-US"/>
        </w:rPr>
        <w:t xml:space="preserve">Ravand,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A" w14:textId="77777777" w:rsidR="006B1CE9" w:rsidRDefault="00214638">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Redruello, R. E. A., &amp; Sánchez, M. Á. (2002). </w:t>
      </w:r>
      <w:r>
        <w:rPr>
          <w:rFonts w:ascii="Arial" w:eastAsia="Arial" w:hAnsi="Arial" w:cs="Arial"/>
          <w:i/>
          <w:color w:val="222222"/>
          <w:sz w:val="24"/>
          <w:szCs w:val="24"/>
          <w:highlight w:val="white"/>
        </w:rPr>
        <w:t>Educación especial: áreas curriculares para alumnos con necesidades educativas especiales</w:t>
      </w:r>
      <w:r>
        <w:rPr>
          <w:rFonts w:ascii="Arial" w:eastAsia="Arial" w:hAnsi="Arial" w:cs="Arial"/>
          <w:color w:val="222222"/>
          <w:sz w:val="24"/>
          <w:szCs w:val="24"/>
          <w:highlight w:val="white"/>
        </w:rPr>
        <w:t>. Pearson Educación.</w:t>
      </w:r>
    </w:p>
    <w:p w14:paraId="000000DB" w14:textId="77777777" w:rsidR="006B1CE9" w:rsidRDefault="00214638">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Schewe, C. L. (2017). Discapacidad, Educación Especial Y Educación Inclusiva Reflexiones necesarias/Disability, Special Education &amp; Inclusive Education. </w:t>
      </w:r>
      <w:r>
        <w:rPr>
          <w:rFonts w:ascii="Arial" w:eastAsia="Arial" w:hAnsi="Arial" w:cs="Arial"/>
          <w:i/>
          <w:color w:val="222222"/>
          <w:sz w:val="24"/>
          <w:szCs w:val="24"/>
          <w:highlight w:val="white"/>
        </w:rPr>
        <w:t>Revista Internacional de Educación y Aprendizaje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w:t>
      </w:r>
      <w:r>
        <w:rPr>
          <w:rFonts w:ascii="Arial" w:eastAsia="Arial" w:hAnsi="Arial" w:cs="Arial"/>
          <w:color w:val="222222"/>
          <w:sz w:val="24"/>
          <w:szCs w:val="24"/>
          <w:highlight w:val="white"/>
        </w:rPr>
        <w:t>(1).</w:t>
      </w:r>
    </w:p>
    <w:p w14:paraId="000000DC" w14:textId="77777777" w:rsidR="006B1CE9" w:rsidRDefault="002146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D" w14:textId="77777777" w:rsidR="006B1CE9" w:rsidRDefault="00214638">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E" w14:textId="77777777" w:rsidR="006B1CE9" w:rsidRDefault="006B1CE9">
      <w:pPr>
        <w:spacing w:after="0" w:line="360" w:lineRule="auto"/>
        <w:ind w:left="720" w:right="138"/>
        <w:rPr>
          <w:rFonts w:ascii="Arial" w:eastAsia="Arial" w:hAnsi="Arial" w:cs="Arial"/>
          <w:b/>
          <w:sz w:val="30"/>
          <w:szCs w:val="30"/>
        </w:rPr>
      </w:pPr>
    </w:p>
    <w:p w14:paraId="000000DF" w14:textId="77777777" w:rsidR="006B1CE9" w:rsidRDefault="006B1CE9">
      <w:pPr>
        <w:spacing w:line="276" w:lineRule="auto"/>
        <w:ind w:left="425" w:right="138"/>
        <w:rPr>
          <w:rFonts w:ascii="Arial" w:eastAsia="Arial" w:hAnsi="Arial" w:cs="Arial"/>
          <w:b/>
          <w:sz w:val="30"/>
          <w:szCs w:val="30"/>
        </w:rPr>
      </w:pPr>
    </w:p>
    <w:p w14:paraId="000000E0" w14:textId="77777777" w:rsidR="006B1CE9" w:rsidRDefault="006B1CE9">
      <w:pPr>
        <w:spacing w:line="276" w:lineRule="auto"/>
        <w:ind w:left="425" w:right="138"/>
        <w:rPr>
          <w:rFonts w:ascii="Arial" w:eastAsia="Arial" w:hAnsi="Arial" w:cs="Arial"/>
          <w:b/>
          <w:sz w:val="30"/>
          <w:szCs w:val="30"/>
        </w:rPr>
      </w:pPr>
    </w:p>
    <w:p w14:paraId="000000E1" w14:textId="77777777" w:rsidR="006B1CE9" w:rsidRDefault="006B1CE9">
      <w:pPr>
        <w:spacing w:line="276" w:lineRule="auto"/>
        <w:ind w:left="425" w:right="138"/>
        <w:rPr>
          <w:rFonts w:ascii="Arial" w:eastAsia="Arial" w:hAnsi="Arial" w:cs="Arial"/>
          <w:b/>
          <w:sz w:val="30"/>
          <w:szCs w:val="30"/>
        </w:rPr>
      </w:pPr>
    </w:p>
    <w:p w14:paraId="000000E2" w14:textId="77777777" w:rsidR="006B1CE9" w:rsidRDefault="006B1CE9">
      <w:pPr>
        <w:spacing w:line="276" w:lineRule="auto"/>
        <w:ind w:left="425" w:right="138"/>
        <w:rPr>
          <w:rFonts w:ascii="Arial" w:eastAsia="Arial" w:hAnsi="Arial" w:cs="Arial"/>
          <w:b/>
          <w:sz w:val="30"/>
          <w:szCs w:val="30"/>
        </w:rPr>
      </w:pPr>
    </w:p>
    <w:p w14:paraId="000000E3" w14:textId="546A6C29" w:rsidR="006B1CE9" w:rsidRDefault="006B1CE9">
      <w:pPr>
        <w:spacing w:line="276" w:lineRule="auto"/>
        <w:ind w:left="425" w:right="138"/>
        <w:rPr>
          <w:rFonts w:ascii="Arial" w:eastAsia="Arial" w:hAnsi="Arial" w:cs="Arial"/>
          <w:b/>
          <w:sz w:val="30"/>
          <w:szCs w:val="30"/>
        </w:rPr>
      </w:pPr>
    </w:p>
    <w:p w14:paraId="11C44B85" w14:textId="3291F300" w:rsidR="000D2FEE" w:rsidRDefault="000D2FEE">
      <w:pPr>
        <w:spacing w:line="276" w:lineRule="auto"/>
        <w:ind w:left="425" w:right="138"/>
        <w:rPr>
          <w:rFonts w:ascii="Arial" w:eastAsia="Arial" w:hAnsi="Arial" w:cs="Arial"/>
          <w:b/>
          <w:sz w:val="30"/>
          <w:szCs w:val="30"/>
        </w:rPr>
      </w:pPr>
    </w:p>
    <w:p w14:paraId="24241DFE" w14:textId="189F6EB2" w:rsidR="000D2FEE" w:rsidRDefault="000D2FEE">
      <w:pPr>
        <w:spacing w:line="276" w:lineRule="auto"/>
        <w:ind w:left="425" w:right="138"/>
        <w:rPr>
          <w:rFonts w:ascii="Arial" w:eastAsia="Arial" w:hAnsi="Arial" w:cs="Arial"/>
          <w:b/>
          <w:sz w:val="30"/>
          <w:szCs w:val="30"/>
        </w:rPr>
      </w:pPr>
    </w:p>
    <w:p w14:paraId="376658D7" w14:textId="6C6AF018" w:rsidR="000D2FEE" w:rsidRDefault="000D2FEE">
      <w:pPr>
        <w:spacing w:line="276" w:lineRule="auto"/>
        <w:ind w:left="425" w:right="138"/>
        <w:rPr>
          <w:rFonts w:ascii="Arial" w:eastAsia="Arial" w:hAnsi="Arial" w:cs="Arial"/>
          <w:b/>
          <w:sz w:val="30"/>
          <w:szCs w:val="30"/>
        </w:rPr>
      </w:pPr>
    </w:p>
    <w:p w14:paraId="5D89A734" w14:textId="04E051AF" w:rsidR="000D2FEE" w:rsidRDefault="000D2FEE">
      <w:pPr>
        <w:spacing w:line="276" w:lineRule="auto"/>
        <w:ind w:left="425" w:right="138"/>
        <w:rPr>
          <w:rFonts w:ascii="Arial" w:eastAsia="Arial" w:hAnsi="Arial" w:cs="Arial"/>
          <w:b/>
          <w:sz w:val="30"/>
          <w:szCs w:val="30"/>
        </w:rPr>
      </w:pPr>
    </w:p>
    <w:p w14:paraId="2CAA473F" w14:textId="1B7BF6DC" w:rsidR="000D2FEE" w:rsidRDefault="000D2FEE">
      <w:pPr>
        <w:spacing w:line="276" w:lineRule="auto"/>
        <w:ind w:left="425" w:right="138"/>
        <w:rPr>
          <w:rFonts w:ascii="Arial" w:eastAsia="Arial" w:hAnsi="Arial" w:cs="Arial"/>
          <w:b/>
          <w:sz w:val="30"/>
          <w:szCs w:val="30"/>
        </w:rPr>
      </w:pPr>
    </w:p>
    <w:p w14:paraId="7DBA0785" w14:textId="77777777" w:rsidR="000D2FEE" w:rsidRDefault="000D2FEE">
      <w:pPr>
        <w:spacing w:line="276" w:lineRule="auto"/>
        <w:ind w:left="425" w:right="138"/>
        <w:rPr>
          <w:rFonts w:ascii="Arial" w:eastAsia="Arial" w:hAnsi="Arial" w:cs="Arial"/>
          <w:b/>
          <w:sz w:val="30"/>
          <w:szCs w:val="30"/>
        </w:rPr>
      </w:pPr>
    </w:p>
    <w:p w14:paraId="000000E4" w14:textId="77777777" w:rsidR="006B1CE9" w:rsidRDefault="006B1CE9">
      <w:pPr>
        <w:spacing w:line="276" w:lineRule="auto"/>
        <w:ind w:left="425" w:right="138"/>
        <w:rPr>
          <w:rFonts w:ascii="Arial" w:eastAsia="Arial" w:hAnsi="Arial" w:cs="Arial"/>
          <w:b/>
          <w:sz w:val="30"/>
          <w:szCs w:val="30"/>
        </w:rPr>
      </w:pPr>
    </w:p>
    <w:p w14:paraId="000000E5" w14:textId="77777777" w:rsidR="006B1CE9" w:rsidRDefault="006B1CE9">
      <w:pPr>
        <w:spacing w:line="276" w:lineRule="auto"/>
        <w:ind w:right="138"/>
        <w:rPr>
          <w:rFonts w:ascii="Arial" w:eastAsia="Arial" w:hAnsi="Arial" w:cs="Arial"/>
          <w:b/>
          <w:sz w:val="30"/>
          <w:szCs w:val="30"/>
        </w:rPr>
      </w:pPr>
    </w:p>
    <w:p w14:paraId="000000E6" w14:textId="77777777" w:rsidR="006B1CE9" w:rsidRDefault="00214638">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7" w14:textId="77777777" w:rsidR="006B1CE9" w:rsidRDefault="006B1CE9">
      <w:pPr>
        <w:spacing w:line="276" w:lineRule="auto"/>
        <w:ind w:right="138"/>
        <w:rPr>
          <w:rFonts w:ascii="Arial" w:eastAsia="Arial" w:hAnsi="Arial" w:cs="Arial"/>
          <w:b/>
          <w:sz w:val="30"/>
          <w:szCs w:val="30"/>
        </w:rPr>
      </w:pPr>
    </w:p>
    <w:sectPr w:rsidR="006B1CE9">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AB184" w14:textId="77777777" w:rsidR="00565FF8" w:rsidRDefault="00565FF8">
      <w:pPr>
        <w:spacing w:after="0" w:line="240" w:lineRule="auto"/>
      </w:pPr>
      <w:r>
        <w:separator/>
      </w:r>
    </w:p>
  </w:endnote>
  <w:endnote w:type="continuationSeparator" w:id="0">
    <w:p w14:paraId="02A9795F" w14:textId="77777777" w:rsidR="00565FF8" w:rsidRDefault="0056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0237" w14:textId="77777777" w:rsidR="00565FF8" w:rsidRDefault="00565FF8">
      <w:pPr>
        <w:spacing w:after="0" w:line="240" w:lineRule="auto"/>
      </w:pPr>
      <w:r>
        <w:separator/>
      </w:r>
    </w:p>
  </w:footnote>
  <w:footnote w:type="continuationSeparator" w:id="0">
    <w:p w14:paraId="1699BCDC" w14:textId="77777777" w:rsidR="00565FF8" w:rsidRDefault="00565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7B89"/>
    <w:multiLevelType w:val="multilevel"/>
    <w:tmpl w:val="FA18ED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2E5490"/>
    <w:multiLevelType w:val="multilevel"/>
    <w:tmpl w:val="B394BD6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9785160"/>
    <w:multiLevelType w:val="multilevel"/>
    <w:tmpl w:val="3DFA0C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884AB7"/>
    <w:multiLevelType w:val="multilevel"/>
    <w:tmpl w:val="3D80A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22006B"/>
    <w:multiLevelType w:val="multilevel"/>
    <w:tmpl w:val="80EC7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E9"/>
    <w:rsid w:val="000D2FEE"/>
    <w:rsid w:val="00214638"/>
    <w:rsid w:val="00565FF8"/>
    <w:rsid w:val="006626CC"/>
    <w:rsid w:val="006B1CE9"/>
    <w:rsid w:val="0072707D"/>
    <w:rsid w:val="009640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D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270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07D"/>
  </w:style>
  <w:style w:type="paragraph" w:styleId="Piedepgina">
    <w:name w:val="footer"/>
    <w:basedOn w:val="Normal"/>
    <w:link w:val="PiedepginaCar"/>
    <w:uiPriority w:val="99"/>
    <w:unhideWhenUsed/>
    <w:rsid w:val="00727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4326</Words>
  <Characters>23797</Characters>
  <Application>Microsoft Office Word</Application>
  <DocSecurity>0</DocSecurity>
  <Lines>198</Lines>
  <Paragraphs>56</Paragraphs>
  <ScaleCrop>false</ScaleCrop>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2020-03-06T02:45:00Z</dcterms:created>
  <dcterms:modified xsi:type="dcterms:W3CDTF">2020-03-06T02:45:00Z</dcterms:modified>
</cp:coreProperties>
</file>