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81" w:rsidRPr="00DA3BD9" w:rsidRDefault="00184481" w:rsidP="00184481">
      <w:pPr>
        <w:pStyle w:val="Ttulo2"/>
        <w:spacing w:line="360" w:lineRule="auto"/>
        <w:rPr>
          <w:sz w:val="24"/>
          <w:szCs w:val="24"/>
        </w:rPr>
      </w:pPr>
      <w:r w:rsidRPr="00DA3BD9">
        <w:rPr>
          <w:sz w:val="24"/>
          <w:szCs w:val="24"/>
        </w:rPr>
        <w:t>Referencias</w:t>
      </w:r>
    </w:p>
    <w:p w:rsidR="00184481" w:rsidRPr="00AF75E9" w:rsidRDefault="00184481" w:rsidP="00184481">
      <w:pPr>
        <w:spacing w:line="240" w:lineRule="auto"/>
        <w:ind w:left="709" w:hanging="709"/>
        <w:jc w:val="left"/>
        <w:rPr>
          <w:rFonts w:eastAsia="Arial"/>
          <w:sz w:val="16"/>
          <w:szCs w:val="16"/>
        </w:rPr>
      </w:pPr>
      <w:r w:rsidRPr="00AF75E9">
        <w:rPr>
          <w:rFonts w:eastAsia="Arial"/>
          <w:sz w:val="16"/>
          <w:szCs w:val="16"/>
        </w:rPr>
        <w:t xml:space="preserve">Brizuela, A., Jiménez, K., Pérez, N. &amp; Rojas, G. (2016). Autorreportes verbales en voz alta para la identificación de procesos de razonamiento en pruebas estandarizadas. </w:t>
      </w:r>
      <w:r w:rsidRPr="00AF75E9">
        <w:rPr>
          <w:rFonts w:eastAsia="Arial"/>
          <w:i/>
          <w:sz w:val="16"/>
          <w:szCs w:val="16"/>
        </w:rPr>
        <w:t>Revista Costarricense de Psicología</w:t>
      </w:r>
      <w:r w:rsidRPr="00AF75E9">
        <w:rPr>
          <w:rFonts w:eastAsia="Arial"/>
          <w:sz w:val="16"/>
          <w:szCs w:val="16"/>
        </w:rPr>
        <w:t>, 35(1), 17-30.</w:t>
      </w:r>
    </w:p>
    <w:p w:rsidR="00184481" w:rsidRPr="00AF75E9" w:rsidRDefault="00184481" w:rsidP="00184481">
      <w:pPr>
        <w:spacing w:line="240" w:lineRule="auto"/>
        <w:ind w:left="709" w:hanging="709"/>
        <w:jc w:val="left"/>
        <w:rPr>
          <w:rFonts w:eastAsia="Arial"/>
          <w:sz w:val="16"/>
          <w:szCs w:val="16"/>
        </w:rPr>
      </w:pPr>
    </w:p>
    <w:p w:rsidR="00184481" w:rsidRPr="00AF75E9" w:rsidRDefault="00184481" w:rsidP="00184481">
      <w:pPr>
        <w:spacing w:line="240" w:lineRule="auto"/>
        <w:ind w:left="709" w:hanging="709"/>
        <w:jc w:val="left"/>
        <w:rPr>
          <w:rFonts w:eastAsia="Arial"/>
          <w:sz w:val="16"/>
          <w:szCs w:val="16"/>
        </w:rPr>
      </w:pPr>
      <w:r w:rsidRPr="00AF75E9">
        <w:rPr>
          <w:rFonts w:eastAsia="Arial"/>
          <w:sz w:val="16"/>
          <w:szCs w:val="16"/>
        </w:rPr>
        <w:t xml:space="preserve">Brizuela, A., Pérez, N., &amp; Rojas, G. (2018). Respuestas guiadas por el experto: validación de las inferencias basadas enlos procesos de respuesta. </w:t>
      </w:r>
      <w:r w:rsidRPr="00AF75E9">
        <w:rPr>
          <w:rFonts w:eastAsia="Arial"/>
          <w:i/>
          <w:sz w:val="16"/>
          <w:szCs w:val="16"/>
        </w:rPr>
        <w:t>Actualidades Investigativas en Educación</w:t>
      </w:r>
      <w:r w:rsidRPr="00AF75E9">
        <w:rPr>
          <w:rFonts w:eastAsia="Arial"/>
          <w:sz w:val="16"/>
          <w:szCs w:val="16"/>
        </w:rPr>
        <w:t>, 18(3), 1-21.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Chiu, C. Y., &amp; Douglas, J. (2013). A nonparametric approach to cognitive diagnosis by proximity to ideal response patterns.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Journal of Classification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,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30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(2), 225-250. 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de la Torre, J. (2009). DINA model and parameter estimation: A didactic.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Journal of Educational and Behavioral Statistics, 34</w:t>
      </w:r>
      <w:r w:rsidRPr="00AF75E9">
        <w:rPr>
          <w:rFonts w:eastAsia="Arial"/>
          <w:color w:val="000000"/>
          <w:sz w:val="16"/>
          <w:szCs w:val="16"/>
          <w:lang w:val="en-US"/>
        </w:rPr>
        <w:t>(1), 115-130.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Ericsson, K. &amp; Simon, H. (1993). Protocol analysis: verbal reports as data. </w:t>
      </w:r>
      <w:r w:rsidRPr="00AF75E9">
        <w:rPr>
          <w:rFonts w:eastAsia="Arial"/>
          <w:color w:val="000000"/>
          <w:sz w:val="16"/>
          <w:szCs w:val="16"/>
        </w:rPr>
        <w:t>Cambridge: MIT Press.</w:t>
      </w:r>
    </w:p>
    <w:p w:rsidR="00AF75E9" w:rsidRPr="00AF75E9" w:rsidRDefault="00AF75E9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color w:val="222222"/>
          <w:sz w:val="16"/>
          <w:szCs w:val="16"/>
          <w:shd w:val="clear" w:color="auto" w:fill="FFFFFF"/>
        </w:rPr>
        <w:t>Guyot, V. (2011). Las prácticas del conocimiento. Un abordaje epistemológico. </w:t>
      </w:r>
      <w:r w:rsidRPr="00AF75E9">
        <w:rPr>
          <w:i/>
          <w:iCs/>
          <w:color w:val="222222"/>
          <w:sz w:val="16"/>
          <w:szCs w:val="16"/>
          <w:shd w:val="clear" w:color="auto" w:fill="FFFFFF"/>
        </w:rPr>
        <w:t>Educación. Investigación. Subjetividad</w:t>
      </w:r>
      <w:r w:rsidRPr="00AF75E9">
        <w:rPr>
          <w:color w:val="222222"/>
          <w:sz w:val="16"/>
          <w:szCs w:val="16"/>
          <w:shd w:val="clear" w:color="auto" w:fill="FFFFFF"/>
        </w:rPr>
        <w:t>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Henson, R. A., Templin, J. L., &amp; Willse, J. T. (2009). Defining a family of cognitive diagnosis models using log-linear models with latent variables.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Psychometrika, 74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(2), 191-210. 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Jang, E. E. (2008). A framework for cognitive diagnostic assessment. In C. A. Chapelle, Y. R. Chung, &amp; J. Xu (Eds.),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Towards adaptive CALL: Natural language processing for diagnostic language assessment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 (pp. 117-131). Ames, IA: Iowa State University. 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Lee, Y.W., &amp; Sawaki, Y. (2009). Cognitive diagnostic approaches to language assessment: An overview.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Language Assessment Quarterly, 6</w:t>
      </w:r>
      <w:r w:rsidRPr="00AF75E9">
        <w:rPr>
          <w:rFonts w:eastAsia="Arial"/>
          <w:color w:val="000000"/>
          <w:sz w:val="16"/>
          <w:szCs w:val="16"/>
          <w:lang w:val="en-US"/>
        </w:rPr>
        <w:t>(3), 172-189.</w:t>
      </w:r>
    </w:p>
    <w:p w:rsidR="00940D8B" w:rsidRPr="00AF75E9" w:rsidRDefault="00184481" w:rsidP="00184481">
      <w:pPr>
        <w:spacing w:line="240" w:lineRule="auto"/>
        <w:ind w:left="709" w:hanging="709"/>
        <w:jc w:val="left"/>
        <w:rPr>
          <w:rFonts w:eastAsia="Arial"/>
          <w:sz w:val="16"/>
          <w:szCs w:val="16"/>
          <w:lang w:val="en-US"/>
        </w:rPr>
      </w:pPr>
      <w:r w:rsidRPr="00AF75E9">
        <w:rPr>
          <w:rFonts w:eastAsia="Arial"/>
          <w:sz w:val="16"/>
          <w:szCs w:val="16"/>
          <w:lang w:val="en-US"/>
        </w:rPr>
        <w:t xml:space="preserve">Leighton, J., &amp; Gierl, M. (2007a). Verbal Reports as Data for Cognitive Diagnostic Assessment. En J. Leighton y M. Gierl </w:t>
      </w:r>
    </w:p>
    <w:p w:rsidR="00940D8B" w:rsidRPr="00AF75E9" w:rsidRDefault="00940D8B" w:rsidP="00184481">
      <w:pPr>
        <w:spacing w:line="240" w:lineRule="auto"/>
        <w:ind w:left="709" w:hanging="709"/>
        <w:jc w:val="left"/>
        <w:rPr>
          <w:rFonts w:eastAsia="Arial"/>
          <w:sz w:val="16"/>
          <w:szCs w:val="16"/>
          <w:lang w:val="en-US"/>
        </w:rPr>
      </w:pPr>
    </w:p>
    <w:p w:rsidR="00184481" w:rsidRPr="00AF75E9" w:rsidRDefault="00184481" w:rsidP="00184481">
      <w:pPr>
        <w:spacing w:line="240" w:lineRule="auto"/>
        <w:ind w:left="709" w:hanging="709"/>
        <w:jc w:val="left"/>
        <w:rPr>
          <w:rFonts w:eastAsia="Arial"/>
          <w:sz w:val="16"/>
          <w:szCs w:val="16"/>
          <w:lang w:val="en-US"/>
        </w:rPr>
      </w:pPr>
      <w:r w:rsidRPr="00AF75E9">
        <w:rPr>
          <w:rFonts w:eastAsia="Arial"/>
          <w:sz w:val="16"/>
          <w:szCs w:val="16"/>
          <w:lang w:val="en-US"/>
        </w:rPr>
        <w:t>(Eds.), Cognitive Diagnostic Assessment for Education (pp. 146-172). Estados Unidos: Cambridge University Press.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Li, H. (2011). A cognitive diagnostic analysis of the MELAB reading test.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Spaan Fellow, 9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, 17-46. 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Nichols, P. (1994). A framework for developing cognitively diagnostic assessments.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Review of Educational Research, 64</w:t>
      </w:r>
      <w:r w:rsidRPr="00AF75E9">
        <w:rPr>
          <w:rFonts w:eastAsia="Arial"/>
          <w:color w:val="000000"/>
          <w:sz w:val="16"/>
          <w:szCs w:val="16"/>
          <w:lang w:val="en-US"/>
        </w:rPr>
        <w:t>, 575-603.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</w:p>
    <w:p w:rsidR="00184481" w:rsidRPr="00AF75E9" w:rsidRDefault="00184481" w:rsidP="00184481">
      <w:pPr>
        <w:spacing w:line="240" w:lineRule="auto"/>
        <w:ind w:left="709" w:hanging="709"/>
        <w:rPr>
          <w:sz w:val="16"/>
          <w:szCs w:val="16"/>
        </w:rPr>
      </w:pPr>
      <w:r w:rsidRPr="00715EAD">
        <w:rPr>
          <w:rFonts w:eastAsia="Arial"/>
          <w:sz w:val="16"/>
          <w:szCs w:val="16"/>
          <w:lang w:val="en-US"/>
        </w:rPr>
        <w:t xml:space="preserve">Pérez-Morán, J.C.; Larrazolo, N.; Backhoff, E.; y Rojas, G. (2015). </w:t>
      </w:r>
      <w:r w:rsidRPr="00AF75E9">
        <w:rPr>
          <w:rFonts w:eastAsia="Arial"/>
          <w:sz w:val="16"/>
          <w:szCs w:val="16"/>
        </w:rPr>
        <w:t xml:space="preserve">Análisis de la estructura cognitiva del área de habilidades cuantitativas del EXHCOBA mediante el modelo LLTM de Fisher. </w:t>
      </w:r>
      <w:r w:rsidRPr="00AF75E9">
        <w:rPr>
          <w:rFonts w:eastAsia="Arial"/>
          <w:i/>
          <w:sz w:val="16"/>
          <w:szCs w:val="16"/>
        </w:rPr>
        <w:t>Revista Internacional de Educación y Aprendizaje</w:t>
      </w:r>
      <w:r w:rsidRPr="00AF75E9">
        <w:rPr>
          <w:rFonts w:eastAsia="Arial"/>
          <w:sz w:val="16"/>
          <w:szCs w:val="16"/>
        </w:rPr>
        <w:t>, 3(1), 25-38. Recuperado de: http://coleccionderevistasdeeducacionyaprendizaje.cgpublisher.com/product/pub.329/prod.5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</w:rPr>
      </w:pPr>
      <w:r w:rsidRPr="00AF75E9">
        <w:rPr>
          <w:rFonts w:eastAsia="Arial"/>
          <w:color w:val="000000"/>
          <w:sz w:val="16"/>
          <w:szCs w:val="16"/>
        </w:rPr>
        <w:t>Pérez-Morán, J. C.; Vázquez-Lira, R.; &amp; Rojas, G. (2019). Diagnóstico Nacional de las habilidades</w:t>
      </w:r>
    </w:p>
    <w:p w:rsidR="00582472" w:rsidRPr="00AF75E9" w:rsidRDefault="00582472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i/>
          <w:color w:val="000000"/>
          <w:sz w:val="16"/>
          <w:szCs w:val="16"/>
        </w:rPr>
      </w:pPr>
      <w:r w:rsidRPr="00AF75E9">
        <w:rPr>
          <w:color w:val="222222"/>
          <w:sz w:val="16"/>
          <w:szCs w:val="16"/>
          <w:shd w:val="clear" w:color="auto" w:fill="FFFFFF"/>
        </w:rPr>
        <w:t>Pérez Serrano, G., &amp; Nieto Martín, S. (1993). La investigación-acción en la educación formal y no formal.</w:t>
      </w:r>
      <w:r w:rsidRPr="00AF75E9">
        <w:rPr>
          <w:i/>
          <w:color w:val="222222"/>
          <w:sz w:val="16"/>
          <w:szCs w:val="16"/>
          <w:shd w:val="clear" w:color="auto" w:fill="FFFFFF"/>
        </w:rPr>
        <w:t>Enseñanza &amp; Teaching: Revista interuniversitaria de Didáctica, 10.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</w:rPr>
        <w:t xml:space="preserve">básicas en Matemáticas de Sexto de Primaria: Resultados de 2015. 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México: RIMEDIE.Rupp, A. (2007). The Answer is in the Question: A Guide for Describing and Investigating the Conceptual Foundations and Statistical Properties of Cognitive Psychometric Models.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International Journal of Testing, 7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(2), 1-31. 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Tatsuoka, K. K. (1990). Toward an integration of item-response theory and cognitive error diagnosis. In N. Frederiksen, R. Glaser, A. Lesgold, &amp; M. Shafto (Eds.),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Diagnostic monitoring of skill and knowledge acquisition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 (pp. 453-488). Hillsdale, NJ: Erlbaum. </w:t>
      </w:r>
    </w:p>
    <w:p w:rsidR="00184481" w:rsidRPr="00715EAD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Templin, J. L., &amp; Henson, R. A. (2006). Measurement of psychological disorders using cognitive diagnosis models. </w:t>
      </w:r>
      <w:r w:rsidRPr="00715EAD">
        <w:rPr>
          <w:rFonts w:eastAsia="Arial"/>
          <w:i/>
          <w:color w:val="000000"/>
          <w:sz w:val="16"/>
          <w:szCs w:val="16"/>
        </w:rPr>
        <w:t>Psychological methods, 11</w:t>
      </w:r>
      <w:r w:rsidRPr="00715EAD">
        <w:rPr>
          <w:rFonts w:eastAsia="Arial"/>
          <w:color w:val="000000"/>
          <w:sz w:val="16"/>
          <w:szCs w:val="16"/>
        </w:rPr>
        <w:t xml:space="preserve">(3), 287-305. </w:t>
      </w:r>
    </w:p>
    <w:p w:rsidR="00582472" w:rsidRPr="00715EAD" w:rsidRDefault="00582472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</w:rPr>
      </w:pPr>
      <w:r w:rsidRPr="00AF75E9">
        <w:rPr>
          <w:color w:val="222222"/>
          <w:sz w:val="16"/>
          <w:szCs w:val="16"/>
          <w:shd w:val="clear" w:color="auto" w:fill="FFFFFF"/>
        </w:rPr>
        <w:t>Barrón Tirado, C. (2015). Concepciones epistemológicas y práctica d</w:t>
      </w:r>
      <w:bookmarkStart w:id="0" w:name="_GoBack"/>
      <w:bookmarkEnd w:id="0"/>
      <w:r w:rsidRPr="00AF75E9">
        <w:rPr>
          <w:color w:val="222222"/>
          <w:sz w:val="16"/>
          <w:szCs w:val="16"/>
          <w:shd w:val="clear" w:color="auto" w:fill="FFFFFF"/>
        </w:rPr>
        <w:t>ocente. Una revisión. </w:t>
      </w:r>
      <w:r w:rsidRPr="00AF75E9">
        <w:rPr>
          <w:i/>
          <w:iCs/>
          <w:color w:val="222222"/>
          <w:sz w:val="16"/>
          <w:szCs w:val="16"/>
          <w:shd w:val="clear" w:color="auto" w:fill="FFFFFF"/>
        </w:rPr>
        <w:t>REDU. Revista de Docencia Universitaria</w:t>
      </w:r>
      <w:r w:rsidRPr="00AF75E9">
        <w:rPr>
          <w:color w:val="222222"/>
          <w:sz w:val="16"/>
          <w:szCs w:val="16"/>
          <w:shd w:val="clear" w:color="auto" w:fill="FFFFFF"/>
        </w:rPr>
        <w:t>, </w:t>
      </w:r>
      <w:r w:rsidRPr="00AF75E9">
        <w:rPr>
          <w:i/>
          <w:iCs/>
          <w:color w:val="222222"/>
          <w:sz w:val="16"/>
          <w:szCs w:val="16"/>
          <w:shd w:val="clear" w:color="auto" w:fill="FFFFFF"/>
        </w:rPr>
        <w:t>13</w:t>
      </w:r>
      <w:r w:rsidRPr="00AF75E9">
        <w:rPr>
          <w:color w:val="222222"/>
          <w:sz w:val="16"/>
          <w:szCs w:val="16"/>
          <w:shd w:val="clear" w:color="auto" w:fill="FFFFFF"/>
        </w:rPr>
        <w:t>(1), 35-56.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715EAD">
        <w:rPr>
          <w:rFonts w:eastAsia="Arial"/>
          <w:color w:val="000000"/>
          <w:sz w:val="16"/>
          <w:szCs w:val="16"/>
        </w:rPr>
        <w:t xml:space="preserve">von Davier, M. (2005). </w:t>
      </w:r>
      <w:r w:rsidRPr="00715EAD">
        <w:rPr>
          <w:rFonts w:eastAsia="Arial"/>
          <w:i/>
          <w:color w:val="000000"/>
          <w:sz w:val="16"/>
          <w:szCs w:val="16"/>
        </w:rPr>
        <w:t>A general diagnostic model applied to language testing data</w:t>
      </w:r>
      <w:r w:rsidRPr="00715EAD">
        <w:rPr>
          <w:rFonts w:eastAsia="Arial"/>
          <w:color w:val="000000"/>
          <w:sz w:val="16"/>
          <w:szCs w:val="16"/>
        </w:rPr>
        <w:t xml:space="preserve"> (ETS Research Report RR-05- 16). 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Princeton, NJ: Educational Testing Service. </w:t>
      </w:r>
    </w:p>
    <w:p w:rsidR="00184481" w:rsidRPr="00DD1723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92263E">
        <w:rPr>
          <w:rFonts w:eastAsia="Arial"/>
          <w:color w:val="000000"/>
          <w:sz w:val="16"/>
          <w:szCs w:val="16"/>
          <w:lang w:val="en-US"/>
        </w:rPr>
        <w:t xml:space="preserve">von Davier, M. (2008). The mixture general diagnostic model. In. G. R. Hancock &amp; K. M. Samuelsen (Eds.), </w:t>
      </w:r>
      <w:r w:rsidRPr="0092263E">
        <w:rPr>
          <w:rFonts w:eastAsia="Arial"/>
          <w:i/>
          <w:color w:val="000000"/>
          <w:sz w:val="16"/>
          <w:szCs w:val="16"/>
          <w:lang w:val="en-US"/>
        </w:rPr>
        <w:t>Advances in latent variable mixture models</w:t>
      </w:r>
      <w:r w:rsidRPr="0092263E">
        <w:rPr>
          <w:rFonts w:eastAsia="Arial"/>
          <w:color w:val="000000"/>
          <w:sz w:val="16"/>
          <w:szCs w:val="16"/>
          <w:lang w:val="en-US"/>
        </w:rPr>
        <w:t xml:space="preserve"> (pp. 255- 274). </w:t>
      </w:r>
      <w:r w:rsidRPr="00DD1723">
        <w:rPr>
          <w:rFonts w:eastAsia="Arial"/>
          <w:color w:val="000000"/>
          <w:sz w:val="16"/>
          <w:szCs w:val="16"/>
          <w:lang w:val="en-US"/>
        </w:rPr>
        <w:t xml:space="preserve">Charlotte, NC: Information Age Publishing. </w:t>
      </w:r>
    </w:p>
    <w:p w:rsidR="00184481" w:rsidRPr="00AF75E9" w:rsidRDefault="000701AD" w:rsidP="00184481">
      <w:pPr>
        <w:pBdr>
          <w:top w:val="nil"/>
          <w:left w:val="nil"/>
          <w:bottom w:val="nil"/>
          <w:right w:val="nil"/>
          <w:between w:val="nil"/>
        </w:pBdr>
        <w:spacing w:after="240"/>
        <w:ind w:left="567" w:hanging="567"/>
        <w:jc w:val="left"/>
        <w:rPr>
          <w:color w:val="000000"/>
          <w:sz w:val="16"/>
          <w:szCs w:val="16"/>
        </w:rPr>
      </w:pPr>
      <w:r w:rsidRPr="00715EAD">
        <w:rPr>
          <w:color w:val="000000"/>
          <w:sz w:val="16"/>
          <w:szCs w:val="16"/>
          <w:lang w:val="en-US"/>
        </w:rPr>
        <w:lastRenderedPageBreak/>
        <w:t xml:space="preserve">Zeichner. K. (2017) Conferencia presentada en el 11º University of Wisconsin Reading Symposium: «Factors Related to Reading Performance», Milwaukee (Wisconsin, Estados Unidos) Fecha de consulta: 08 de septiembre de 2018. </w:t>
      </w:r>
      <w:r w:rsidRPr="00AF75E9">
        <w:rPr>
          <w:color w:val="000000"/>
          <w:sz w:val="16"/>
          <w:szCs w:val="16"/>
        </w:rPr>
        <w:t xml:space="preserve">Disponible en: </w:t>
      </w:r>
      <w:hyperlink r:id="rId6" w:tgtFrame="_blank" w:history="1">
        <w:r w:rsidRPr="00AF75E9">
          <w:rPr>
            <w:rStyle w:val="Hipervnculo"/>
            <w:sz w:val="16"/>
            <w:szCs w:val="16"/>
          </w:rPr>
          <w:t>https://www.practicareflexiva.pro/wp-content/uploads/2012/04/Org-El-maestro-como-profesional-reflexivo-de-Kenneth-M.-Zeichner..pdf</w:t>
        </w:r>
      </w:hyperlink>
    </w:p>
    <w:p w:rsidR="0006439E" w:rsidRPr="00AF75E9" w:rsidRDefault="0006439E" w:rsidP="00184481">
      <w:pPr>
        <w:pBdr>
          <w:top w:val="nil"/>
          <w:left w:val="nil"/>
          <w:bottom w:val="nil"/>
          <w:right w:val="nil"/>
          <w:between w:val="nil"/>
        </w:pBdr>
        <w:spacing w:after="240"/>
        <w:ind w:left="567" w:hanging="567"/>
        <w:jc w:val="left"/>
        <w:rPr>
          <w:sz w:val="16"/>
          <w:szCs w:val="16"/>
        </w:rPr>
      </w:pPr>
      <w:r w:rsidRPr="00AF75E9">
        <w:rPr>
          <w:sz w:val="16"/>
          <w:szCs w:val="16"/>
        </w:rPr>
        <w:t>Mc Niff, 1988</w:t>
      </w:r>
    </w:p>
    <w:p w:rsidR="0006439E" w:rsidRPr="00AF75E9" w:rsidRDefault="0006439E" w:rsidP="00184481">
      <w:pPr>
        <w:pBdr>
          <w:top w:val="nil"/>
          <w:left w:val="nil"/>
          <w:bottom w:val="nil"/>
          <w:right w:val="nil"/>
          <w:between w:val="nil"/>
        </w:pBdr>
        <w:spacing w:after="240"/>
        <w:ind w:left="567" w:hanging="567"/>
        <w:jc w:val="left"/>
        <w:rPr>
          <w:color w:val="000000"/>
          <w:sz w:val="16"/>
          <w:szCs w:val="16"/>
        </w:rPr>
      </w:pPr>
      <w:r w:rsidRPr="00AF75E9">
        <w:rPr>
          <w:sz w:val="16"/>
          <w:szCs w:val="16"/>
        </w:rPr>
        <w:t>Lewin (1946), Carr y Kemmis (1983), Elliot (1986) y Mc Niff (1988)</w:t>
      </w:r>
    </w:p>
    <w:p w:rsidR="00561044" w:rsidRPr="00AF75E9" w:rsidRDefault="00561044" w:rsidP="00184481">
      <w:pPr>
        <w:pBdr>
          <w:top w:val="nil"/>
          <w:left w:val="nil"/>
          <w:bottom w:val="nil"/>
          <w:right w:val="nil"/>
          <w:between w:val="nil"/>
        </w:pBdr>
        <w:spacing w:after="240"/>
        <w:ind w:left="567" w:hanging="567"/>
        <w:jc w:val="left"/>
        <w:rPr>
          <w:color w:val="000000"/>
          <w:sz w:val="16"/>
          <w:szCs w:val="16"/>
        </w:rPr>
      </w:pPr>
      <w:r w:rsidRPr="00AF75E9">
        <w:rPr>
          <w:color w:val="000000"/>
          <w:sz w:val="16"/>
          <w:szCs w:val="16"/>
        </w:rPr>
        <w:t>Falta autor para las limitaciones de exámenes de logro</w:t>
      </w:r>
    </w:p>
    <w:p w:rsidR="00663B02" w:rsidRPr="00AF75E9" w:rsidRDefault="00663B02">
      <w:pPr>
        <w:rPr>
          <w:color w:val="000000"/>
          <w:sz w:val="16"/>
          <w:szCs w:val="16"/>
        </w:rPr>
      </w:pPr>
      <w:r w:rsidRPr="00AF75E9">
        <w:rPr>
          <w:color w:val="000000"/>
          <w:sz w:val="16"/>
          <w:szCs w:val="16"/>
        </w:rPr>
        <w:t>Wenger (2001),</w:t>
      </w: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715EAD" w:rsidRDefault="00715EAD" w:rsidP="00715EAD">
      <w:pPr>
        <w:pStyle w:val="Ttulo2"/>
        <w:spacing w:before="0" w:after="0"/>
        <w:jc w:val="left"/>
        <w:rPr>
          <w:b w:val="0"/>
          <w:color w:val="auto"/>
          <w:sz w:val="24"/>
          <w:szCs w:val="24"/>
        </w:rPr>
      </w:pPr>
      <w:r w:rsidRPr="00AF7E2A">
        <w:rPr>
          <w:b w:val="0"/>
          <w:color w:val="auto"/>
          <w:sz w:val="24"/>
          <w:szCs w:val="24"/>
        </w:rPr>
        <w:lastRenderedPageBreak/>
        <w:t>Tabla 1.</w:t>
      </w:r>
    </w:p>
    <w:p w:rsidR="00715EAD" w:rsidRDefault="00715EAD" w:rsidP="00715EAD">
      <w:pPr>
        <w:spacing w:line="240" w:lineRule="auto"/>
        <w:jc w:val="left"/>
      </w:pPr>
      <w:r>
        <w:rPr>
          <w:i/>
        </w:rPr>
        <w:t>Habilidades básicas evaluadas en la prueba PLANEA Matemáticas 06</w:t>
      </w:r>
    </w:p>
    <w:p w:rsidR="002A4F54" w:rsidRDefault="002A4F54" w:rsidP="002A4F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2976"/>
        <w:gridCol w:w="3199"/>
      </w:tblGrid>
      <w:tr w:rsidR="002A4F54" w:rsidTr="00715EAD">
        <w:trPr>
          <w:trHeight w:val="813"/>
        </w:trPr>
        <w:tc>
          <w:tcPr>
            <w:tcW w:w="3369" w:type="dxa"/>
            <w:tcBorders>
              <w:right w:val="nil"/>
            </w:tcBorders>
            <w:vAlign w:val="center"/>
          </w:tcPr>
          <w:p w:rsidR="002A4F54" w:rsidRPr="00C21E6E" w:rsidRDefault="002A4F54" w:rsidP="007565AA">
            <w:pPr>
              <w:jc w:val="center"/>
              <w:rPr>
                <w:sz w:val="20"/>
                <w:szCs w:val="20"/>
              </w:rPr>
            </w:pPr>
            <w:r w:rsidRPr="00C21E6E">
              <w:rPr>
                <w:sz w:val="20"/>
                <w:szCs w:val="20"/>
              </w:rPr>
              <w:t>Eje 1: Sentido Numérico y Pensamiento Algebraico</w:t>
            </w: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4F54" w:rsidRPr="00C21E6E" w:rsidRDefault="002A4F54" w:rsidP="007565AA">
            <w:pPr>
              <w:jc w:val="center"/>
              <w:rPr>
                <w:sz w:val="20"/>
                <w:szCs w:val="20"/>
              </w:rPr>
            </w:pPr>
            <w:r w:rsidRPr="00C21E6E">
              <w:rPr>
                <w:sz w:val="20"/>
                <w:szCs w:val="20"/>
              </w:rPr>
              <w:t>Eje 2: Manejo de la Información</w:t>
            </w:r>
          </w:p>
        </w:tc>
        <w:tc>
          <w:tcPr>
            <w:tcW w:w="3199" w:type="dxa"/>
            <w:tcBorders>
              <w:left w:val="nil"/>
            </w:tcBorders>
            <w:vAlign w:val="center"/>
          </w:tcPr>
          <w:p w:rsidR="002A4F54" w:rsidRPr="00C21E6E" w:rsidRDefault="002A4F54" w:rsidP="007565AA">
            <w:pPr>
              <w:jc w:val="center"/>
              <w:rPr>
                <w:sz w:val="20"/>
                <w:szCs w:val="20"/>
              </w:rPr>
            </w:pPr>
            <w:r w:rsidRPr="00C21E6E">
              <w:rPr>
                <w:sz w:val="20"/>
                <w:szCs w:val="20"/>
              </w:rPr>
              <w:t>Eje 3: Forma, Espacio y Medida</w:t>
            </w:r>
          </w:p>
        </w:tc>
      </w:tr>
      <w:tr w:rsidR="002A4F54" w:rsidTr="00715EAD">
        <w:tc>
          <w:tcPr>
            <w:tcW w:w="3369" w:type="dxa"/>
            <w:tcBorders>
              <w:right w:val="nil"/>
            </w:tcBorders>
          </w:tcPr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1.</w:t>
            </w:r>
            <w:r w:rsidRPr="00C21E6E">
              <w:rPr>
                <w:sz w:val="20"/>
                <w:szCs w:val="20"/>
              </w:rPr>
              <w:t>Comprensión de problemas matemáticos contextualizados</w:t>
            </w:r>
            <w:r>
              <w:rPr>
                <w:sz w:val="20"/>
                <w:szCs w:val="20"/>
              </w:rPr>
              <w:t>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2.</w:t>
            </w:r>
            <w:r w:rsidRPr="00C21E6E">
              <w:rPr>
                <w:sz w:val="20"/>
                <w:szCs w:val="20"/>
              </w:rPr>
              <w:t>Comprensión del Sistema Internacional de Unidades</w:t>
            </w:r>
            <w:r>
              <w:rPr>
                <w:sz w:val="20"/>
                <w:szCs w:val="20"/>
              </w:rPr>
              <w:t>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Aplicación de operaciones aritméticas básicas.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Representación de modelos aritméticos de la mediana.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Amplificación de fracciones.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6.</w:t>
            </w:r>
            <w:r>
              <w:rPr>
                <w:sz w:val="20"/>
                <w:szCs w:val="20"/>
              </w:rPr>
              <w:t>Representación del modelo aritmético de la división.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Representación de números fraccionarios.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Inferencia del patrón que rige una secuencia de números naturales.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9.</w:t>
            </w:r>
            <w:r>
              <w:rPr>
                <w:sz w:val="20"/>
                <w:szCs w:val="20"/>
              </w:rPr>
              <w:t>Conversión de texto cardinal a números naturales y viceversa.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10.</w:t>
            </w:r>
            <w:r>
              <w:rPr>
                <w:sz w:val="20"/>
                <w:szCs w:val="20"/>
              </w:rPr>
              <w:t>Operación de valores posicionales con números naturales o decimales.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11.</w:t>
            </w:r>
            <w:r>
              <w:rPr>
                <w:sz w:val="20"/>
                <w:szCs w:val="20"/>
              </w:rPr>
              <w:t>Representación del modelo multiplicativo de números fraccionarios por naturales.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12.</w:t>
            </w:r>
            <w:r>
              <w:rPr>
                <w:sz w:val="20"/>
                <w:szCs w:val="20"/>
              </w:rPr>
              <w:t>Conversión de una regla verbal de progresión geométrica ascendente a sucesión numérica.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13.</w:t>
            </w:r>
            <w:r>
              <w:rPr>
                <w:sz w:val="20"/>
                <w:szCs w:val="20"/>
              </w:rPr>
              <w:t>Deducción del patrón de una sucesión con progresión especial.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Comprensión de problemas matemáticos contextualizados.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Comparación de la proporcionalidad de razones.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Representación de modelos aritméticos de la media.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Representación de modelos aritméticos de la mediana.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Aplicación de operaciones aritméticas básicas.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6.</w:t>
            </w:r>
            <w:r>
              <w:rPr>
                <w:sz w:val="20"/>
                <w:szCs w:val="20"/>
              </w:rPr>
              <w:t>Representación de datos numéricos en gráficas de barras.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Representación del modelo de regla de tres simple.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Comprensión de la relación entre porcentajes y fracciones.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9.</w:t>
            </w:r>
            <w:r>
              <w:rPr>
                <w:sz w:val="20"/>
                <w:szCs w:val="20"/>
              </w:rPr>
              <w:t>Comparación de razones con cantidades discretas.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10.</w:t>
            </w:r>
            <w:r>
              <w:rPr>
                <w:sz w:val="20"/>
                <w:szCs w:val="20"/>
              </w:rPr>
              <w:t>Representación de un número fraccionario.</w:t>
            </w:r>
          </w:p>
        </w:tc>
        <w:tc>
          <w:tcPr>
            <w:tcW w:w="3199" w:type="dxa"/>
            <w:tcBorders>
              <w:left w:val="nil"/>
            </w:tcBorders>
          </w:tcPr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1.</w:t>
            </w:r>
            <w:r w:rsidRPr="00C21E6E">
              <w:rPr>
                <w:sz w:val="20"/>
                <w:szCs w:val="20"/>
              </w:rPr>
              <w:t>Comprensión de problemas matemáticos contextualizados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2.</w:t>
            </w:r>
            <w:r w:rsidRPr="00C21E6E">
              <w:rPr>
                <w:sz w:val="20"/>
                <w:szCs w:val="20"/>
              </w:rPr>
              <w:t>Comprensión del Sistema Internacional de Unidades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3.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21E6E">
              <w:rPr>
                <w:sz w:val="20"/>
                <w:szCs w:val="20"/>
              </w:rPr>
              <w:t>Operación de valores posicionales con números naturales y decimales.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4.</w:t>
            </w:r>
            <w:r w:rsidRPr="00C21E6E">
              <w:rPr>
                <w:sz w:val="20"/>
                <w:szCs w:val="20"/>
              </w:rPr>
              <w:t>Ubicación de una coordenada en el primer cuadrante del plano cartesiano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5.</w:t>
            </w:r>
            <w:r w:rsidRPr="00C21E6E">
              <w:rPr>
                <w:sz w:val="20"/>
                <w:szCs w:val="20"/>
              </w:rPr>
              <w:t>Aplicación de operaciones aritméticas básicas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6.</w:t>
            </w:r>
            <w:r w:rsidRPr="00C21E6E">
              <w:rPr>
                <w:sz w:val="20"/>
                <w:szCs w:val="20"/>
              </w:rPr>
              <w:t>Definición de tecnicismos del lenguaje de la geometría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7.</w:t>
            </w:r>
            <w:r w:rsidRPr="00C21E6E">
              <w:rPr>
                <w:sz w:val="20"/>
                <w:szCs w:val="20"/>
              </w:rPr>
              <w:t>Representación viso-espacial de figuras geométricas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8.</w:t>
            </w:r>
            <w:r w:rsidRPr="00C21E6E">
              <w:rPr>
                <w:sz w:val="20"/>
                <w:szCs w:val="20"/>
              </w:rPr>
              <w:t>Identificación de las características geométricas de los cuadriláteros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9.</w:t>
            </w:r>
            <w:r w:rsidRPr="00C21E6E">
              <w:rPr>
                <w:sz w:val="20"/>
                <w:szCs w:val="20"/>
              </w:rPr>
              <w:t>Identificación gráfica de tipos de líneas rectas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10.</w:t>
            </w:r>
            <w:r w:rsidRPr="00C21E6E">
              <w:rPr>
                <w:sz w:val="20"/>
                <w:szCs w:val="20"/>
              </w:rPr>
              <w:t>Representación del modelo aritmético para calcular el perímetro de una figura geométrica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11.</w:t>
            </w:r>
            <w:r w:rsidRPr="00C21E6E">
              <w:rPr>
                <w:sz w:val="20"/>
                <w:szCs w:val="20"/>
              </w:rPr>
              <w:t>Representación del modelo aritmético para calcular el área de cuadriláteros o triángulos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12.</w:t>
            </w:r>
            <w:r w:rsidRPr="00C21E6E">
              <w:rPr>
                <w:sz w:val="20"/>
                <w:szCs w:val="20"/>
              </w:rPr>
              <w:t>Deducción de fórmulas para calcular el área mediante descomposición de figuras geométricas</w:t>
            </w:r>
          </w:p>
        </w:tc>
      </w:tr>
    </w:tbl>
    <w:p w:rsidR="002A4F54" w:rsidRDefault="002A4F54">
      <w:pPr>
        <w:rPr>
          <w:sz w:val="16"/>
          <w:szCs w:val="16"/>
        </w:rPr>
      </w:pPr>
    </w:p>
    <w:sectPr w:rsidR="002A4F54">
      <w:headerReference w:type="default" r:id="rId7"/>
      <w:footerReference w:type="default" r:id="rId8"/>
      <w:pgSz w:w="12240" w:h="15840"/>
      <w:pgMar w:top="1418" w:right="1418" w:bottom="1418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642" w:rsidRDefault="00AD3642">
      <w:pPr>
        <w:spacing w:line="240" w:lineRule="auto"/>
      </w:pPr>
      <w:r>
        <w:separator/>
      </w:r>
    </w:p>
  </w:endnote>
  <w:endnote w:type="continuationSeparator" w:id="0">
    <w:p w:rsidR="00AD3642" w:rsidRDefault="00AD3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891" w:rsidRDefault="004351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B2229F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642" w:rsidRDefault="00AD3642">
      <w:pPr>
        <w:spacing w:line="240" w:lineRule="auto"/>
      </w:pPr>
      <w:r>
        <w:separator/>
      </w:r>
    </w:p>
  </w:footnote>
  <w:footnote w:type="continuationSeparator" w:id="0">
    <w:p w:rsidR="00AD3642" w:rsidRDefault="00AD3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891" w:rsidRDefault="004351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120" w:after="120" w:line="240" w:lineRule="auto"/>
      <w:jc w:val="center"/>
      <w:rPr>
        <w:color w:val="7F7F7F"/>
        <w:sz w:val="16"/>
        <w:szCs w:val="16"/>
      </w:rPr>
    </w:pPr>
    <w:r>
      <w:rPr>
        <w:color w:val="7F7F7F"/>
        <w:sz w:val="16"/>
        <w:szCs w:val="16"/>
      </w:rPr>
      <w:t>XV CONGRESO NACIONAL DE INVESTIGACIÓN EDUCATIVA – PONENCIA REPORTES PARCIALES O FINALES DE INVESTIGACIÓN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81"/>
    <w:rsid w:val="0001353E"/>
    <w:rsid w:val="0006439E"/>
    <w:rsid w:val="000701AD"/>
    <w:rsid w:val="00184481"/>
    <w:rsid w:val="002A4F54"/>
    <w:rsid w:val="003F06B1"/>
    <w:rsid w:val="004351A6"/>
    <w:rsid w:val="00561044"/>
    <w:rsid w:val="00582472"/>
    <w:rsid w:val="00663B02"/>
    <w:rsid w:val="0069109C"/>
    <w:rsid w:val="00715EAD"/>
    <w:rsid w:val="00940D8B"/>
    <w:rsid w:val="00AD3642"/>
    <w:rsid w:val="00AF75E9"/>
    <w:rsid w:val="00B2229F"/>
    <w:rsid w:val="00D63D25"/>
    <w:rsid w:val="00DD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AEA160-2767-44FD-AF23-4272055C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48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481"/>
    <w:pPr>
      <w:keepNext/>
      <w:keepLines/>
      <w:spacing w:before="240" w:after="240" w:line="240" w:lineRule="auto"/>
      <w:outlineLvl w:val="1"/>
    </w:pPr>
    <w:rPr>
      <w:b/>
      <w:color w:val="00000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4481"/>
    <w:rPr>
      <w:rFonts w:ascii="Times New Roman" w:eastAsia="Times New Roman" w:hAnsi="Times New Roman" w:cs="Times New Roman"/>
      <w:b/>
      <w:color w:val="000000"/>
      <w:sz w:val="28"/>
      <w:szCs w:val="2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701A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F06B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acticareflexiva.pro/wp-content/uploads/2012/04/Org-El-maestro-como-profesional-reflexivo-de-Kenneth-M.-Zeichner.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la peña</dc:creator>
  <cp:lastModifiedBy>Alejandro</cp:lastModifiedBy>
  <cp:revision>7</cp:revision>
  <dcterms:created xsi:type="dcterms:W3CDTF">2019-04-28T05:10:00Z</dcterms:created>
  <dcterms:modified xsi:type="dcterms:W3CDTF">2019-04-30T00:00:00Z</dcterms:modified>
</cp:coreProperties>
</file>