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01D8DE" w14:textId="77777777" w:rsidR="00FF60C6" w:rsidRDefault="00CD031F" w:rsidP="00CD031F">
      <w:pPr>
        <w:shd w:val="clear" w:color="auto" w:fill="FFFFFF"/>
        <w:spacing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40"/>
          <w:szCs w:val="40"/>
          <w:lang w:eastAsia="es-MX"/>
        </w:rPr>
      </w:pPr>
      <w:r w:rsidRPr="00CD031F">
        <w:rPr>
          <w:rFonts w:ascii="Helvetica" w:eastAsia="Times New Roman" w:hAnsi="Helvetica" w:cs="Helvetica"/>
          <w:b/>
          <w:bCs/>
          <w:color w:val="000000"/>
          <w:sz w:val="40"/>
          <w:szCs w:val="40"/>
          <w:lang w:eastAsia="es-MX"/>
        </w:rPr>
        <w:t xml:space="preserve">Módulo 2. </w:t>
      </w:r>
    </w:p>
    <w:p w14:paraId="7BF7A822" w14:textId="3859B1AC" w:rsidR="00CD031F" w:rsidRPr="00CD031F" w:rsidRDefault="00CD031F" w:rsidP="00CD031F">
      <w:pPr>
        <w:shd w:val="clear" w:color="auto" w:fill="FFFFFF"/>
        <w:spacing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40"/>
          <w:szCs w:val="40"/>
          <w:lang w:eastAsia="es-MX"/>
        </w:rPr>
      </w:pPr>
      <w:r w:rsidRPr="00CD031F">
        <w:rPr>
          <w:rFonts w:ascii="Helvetica" w:eastAsia="Times New Roman" w:hAnsi="Helvetica" w:cs="Helvetica"/>
          <w:b/>
          <w:bCs/>
          <w:color w:val="000000"/>
          <w:sz w:val="40"/>
          <w:szCs w:val="40"/>
          <w:lang w:eastAsia="es-MX"/>
        </w:rPr>
        <w:t>Medición de la pobreza en México</w:t>
      </w:r>
    </w:p>
    <w:p w14:paraId="600F8459" w14:textId="0920F408" w:rsidR="0084257D" w:rsidRDefault="0084257D" w:rsidP="00CD031F"/>
    <w:p w14:paraId="2F7498F9" w14:textId="77777777" w:rsidR="00CD031F" w:rsidRDefault="00CD031F" w:rsidP="00CD031F">
      <w:pPr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 xml:space="preserve">Al respecto, la Ley General de Desarrollo Social (LGDS), promulgada en México en 2004, creó el Consejo Nacional de Evaluación de la Política de Desarrollo Social (CONEVAL), el cual tiene dos funciones principales: medir la pobreza en forma multidimensional y evaluar las políticas y programas sociales. </w:t>
      </w:r>
    </w:p>
    <w:p w14:paraId="503E8224" w14:textId="0079419D" w:rsidR="00CD031F" w:rsidRDefault="00CD031F" w:rsidP="00CD031F">
      <w:pPr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 xml:space="preserve">Además, los </w:t>
      </w:r>
      <w:r w:rsidRPr="00CD031F">
        <w:rPr>
          <w:rFonts w:ascii="Helvetica" w:hAnsi="Helvetica" w:cs="Helvetica"/>
          <w:color w:val="313131"/>
          <w:highlight w:val="magenta"/>
          <w:shd w:val="clear" w:color="auto" w:fill="FFFFFF"/>
        </w:rPr>
        <w:t>indicadores establecidos en el artículo 36 de la LGDS</w:t>
      </w:r>
      <w:r>
        <w:rPr>
          <w:rFonts w:ascii="Helvetica" w:hAnsi="Helvetica" w:cs="Helvetica"/>
          <w:color w:val="313131"/>
          <w:shd w:val="clear" w:color="auto" w:fill="FFFFFF"/>
        </w:rPr>
        <w:t xml:space="preserve"> permiten identificar </w:t>
      </w:r>
      <w:r w:rsidRPr="00CD031F">
        <w:rPr>
          <w:rFonts w:ascii="Helvetica" w:hAnsi="Helvetica" w:cs="Helvetica"/>
          <w:color w:val="313131"/>
          <w:highlight w:val="magenta"/>
          <w:shd w:val="clear" w:color="auto" w:fill="FFFFFF"/>
        </w:rPr>
        <w:t>tres espacios analíticos</w:t>
      </w:r>
      <w:r>
        <w:rPr>
          <w:rFonts w:ascii="Helvetica" w:hAnsi="Helvetica" w:cs="Helvetica"/>
          <w:color w:val="313131"/>
          <w:shd w:val="clear" w:color="auto" w:fill="FFFFFF"/>
        </w:rPr>
        <w:t xml:space="preserve"> relevantes para el estudio de la pobreza: el primero se asocia al </w:t>
      </w:r>
      <w:r w:rsidRPr="00CD031F">
        <w:rPr>
          <w:rFonts w:ascii="Helvetica" w:hAnsi="Helvetica" w:cs="Helvetica"/>
          <w:color w:val="313131"/>
          <w:highlight w:val="magenta"/>
          <w:shd w:val="clear" w:color="auto" w:fill="FFFFFF"/>
        </w:rPr>
        <w:t>enfoque de bienestar</w:t>
      </w:r>
      <w:r>
        <w:rPr>
          <w:rFonts w:ascii="Helvetica" w:hAnsi="Helvetica" w:cs="Helvetica"/>
          <w:color w:val="313131"/>
          <w:shd w:val="clear" w:color="auto" w:fill="FFFFFF"/>
        </w:rPr>
        <w:t xml:space="preserve">, en términos de los satisfactores que pueden ser adquiridos mediante los recursos monetarios de la población; el segundo se vincula a los </w:t>
      </w:r>
      <w:r w:rsidRPr="00CD031F">
        <w:rPr>
          <w:rFonts w:ascii="Helvetica" w:hAnsi="Helvetica" w:cs="Helvetica"/>
          <w:color w:val="313131"/>
          <w:highlight w:val="magenta"/>
          <w:shd w:val="clear" w:color="auto" w:fill="FFFFFF"/>
        </w:rPr>
        <w:t>derechos fundamentales de las personas</w:t>
      </w:r>
      <w:r>
        <w:rPr>
          <w:rFonts w:ascii="Helvetica" w:hAnsi="Helvetica" w:cs="Helvetica"/>
          <w:color w:val="313131"/>
          <w:shd w:val="clear" w:color="auto" w:fill="FFFFFF"/>
        </w:rPr>
        <w:t xml:space="preserve">, en materia de desarrollo social; y el tercero se determina por </w:t>
      </w:r>
      <w:r w:rsidRPr="00CD031F">
        <w:rPr>
          <w:rFonts w:ascii="Helvetica" w:hAnsi="Helvetica" w:cs="Helvetica"/>
          <w:color w:val="313131"/>
          <w:highlight w:val="magenta"/>
          <w:shd w:val="clear" w:color="auto" w:fill="FFFFFF"/>
        </w:rPr>
        <w:t>aspectos relacionales y comunitarios</w:t>
      </w:r>
      <w:r>
        <w:rPr>
          <w:rFonts w:ascii="Helvetica" w:hAnsi="Helvetica" w:cs="Helvetica"/>
          <w:color w:val="313131"/>
          <w:shd w:val="clear" w:color="auto" w:fill="FFFFFF"/>
        </w:rPr>
        <w:t xml:space="preserve"> que se expresan territorialmente.</w:t>
      </w:r>
    </w:p>
    <w:p w14:paraId="46D6C168" w14:textId="37C6946A" w:rsidR="00CD031F" w:rsidRDefault="00CD031F" w:rsidP="00CD031F">
      <w:pPr>
        <w:rPr>
          <w:rFonts w:ascii="Helvetica" w:hAnsi="Helvetica" w:cs="Helvetica"/>
          <w:color w:val="313131"/>
          <w:shd w:val="clear" w:color="auto" w:fill="FFFFFF"/>
        </w:rPr>
      </w:pPr>
    </w:p>
    <w:p w14:paraId="70AB4CE3" w14:textId="77777777" w:rsidR="00CD031F" w:rsidRPr="00FF60C6" w:rsidRDefault="00CD031F" w:rsidP="00FF60C6">
      <w:pPr>
        <w:pStyle w:val="Ttulo2"/>
        <w:shd w:val="clear" w:color="auto" w:fill="FFFFFF"/>
        <w:spacing w:before="0" w:line="336" w:lineRule="atLeast"/>
        <w:jc w:val="center"/>
        <w:rPr>
          <w:rFonts w:ascii="Helvetica" w:hAnsi="Helvetica" w:cs="Helvetica"/>
          <w:b/>
          <w:bCs/>
          <w:color w:val="474747"/>
        </w:rPr>
      </w:pPr>
      <w:r w:rsidRPr="00FF60C6">
        <w:rPr>
          <w:rFonts w:ascii="Helvetica" w:hAnsi="Helvetica" w:cs="Helvetica"/>
          <w:b/>
          <w:bCs/>
          <w:color w:val="474747"/>
        </w:rPr>
        <w:t>Tema 1. Fundamentos normativos de la medición de la pobreza en México</w:t>
      </w:r>
    </w:p>
    <w:p w14:paraId="58387F72" w14:textId="76B19CD8" w:rsidR="00CD031F" w:rsidRDefault="00CD031F" w:rsidP="00CD031F">
      <w:pPr>
        <w:rPr>
          <w:rFonts w:ascii="Helvetica" w:hAnsi="Helvetica" w:cs="Helvetica"/>
          <w:color w:val="313131"/>
          <w:shd w:val="clear" w:color="auto" w:fill="FFFFFF"/>
        </w:rPr>
      </w:pPr>
    </w:p>
    <w:p w14:paraId="16DAF864" w14:textId="4C4A5D1C" w:rsidR="00CD031F" w:rsidRDefault="00CD031F" w:rsidP="00FF60C6">
      <w:pPr>
        <w:spacing w:after="0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El artículo 1 de la Ley General de Desarrollo Social plantea, como uno de sus principales objetivos, </w:t>
      </w:r>
      <w:r>
        <w:rPr>
          <w:rStyle w:val="Textoennegrita"/>
          <w:rFonts w:ascii="Helvetica" w:hAnsi="Helvetica" w:cs="Helvetica"/>
          <w:color w:val="313131"/>
          <w:shd w:val="clear" w:color="auto" w:fill="FFFFFF"/>
        </w:rPr>
        <w:t>garantizar el pleno ejercicio de los derechos sociales</w:t>
      </w:r>
      <w:r>
        <w:rPr>
          <w:rFonts w:ascii="Helvetica" w:hAnsi="Helvetica" w:cs="Helvetica"/>
          <w:color w:val="313131"/>
          <w:shd w:val="clear" w:color="auto" w:fill="FFFFFF"/>
        </w:rPr>
        <w:t> consagrados en la Constitución Política de los Estados Unidos Mexicanos, asegurando el acceso de toda la población al desarrollo social.</w:t>
      </w:r>
    </w:p>
    <w:p w14:paraId="5E3BC54B" w14:textId="77777777" w:rsidR="00CD031F" w:rsidRPr="00CD031F" w:rsidRDefault="00CD031F" w:rsidP="00FF60C6">
      <w:pPr>
        <w:shd w:val="clear" w:color="auto" w:fill="FFFFFF"/>
        <w:spacing w:before="300" w:after="0" w:line="240" w:lineRule="auto"/>
        <w:jc w:val="both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CD031F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En el artículo 6 de la LGDS, se reconocen como derechos para el desarrollo social los siguientes:</w:t>
      </w:r>
    </w:p>
    <w:p w14:paraId="360CACA8" w14:textId="77777777" w:rsidR="00CD031F" w:rsidRPr="00CD031F" w:rsidRDefault="00CD031F" w:rsidP="00FF60C6">
      <w:pPr>
        <w:numPr>
          <w:ilvl w:val="2"/>
          <w:numId w:val="1"/>
        </w:numPr>
        <w:shd w:val="clear" w:color="auto" w:fill="FFFFFF"/>
        <w:spacing w:before="100" w:beforeAutospacing="1" w:after="0" w:line="336" w:lineRule="atLeast"/>
        <w:ind w:left="0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CD031F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La educación </w:t>
      </w:r>
    </w:p>
    <w:p w14:paraId="1F487DC7" w14:textId="77777777" w:rsidR="00CD031F" w:rsidRPr="00CD031F" w:rsidRDefault="00CD031F" w:rsidP="00FF60C6">
      <w:pPr>
        <w:numPr>
          <w:ilvl w:val="2"/>
          <w:numId w:val="1"/>
        </w:numPr>
        <w:shd w:val="clear" w:color="auto" w:fill="FFFFFF"/>
        <w:spacing w:before="100" w:beforeAutospacing="1" w:after="0" w:line="336" w:lineRule="atLeast"/>
        <w:ind w:left="0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CD031F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La salud </w:t>
      </w:r>
    </w:p>
    <w:p w14:paraId="3B0DFF7A" w14:textId="77777777" w:rsidR="00CD031F" w:rsidRPr="00CD031F" w:rsidRDefault="00CD031F" w:rsidP="00FF60C6">
      <w:pPr>
        <w:numPr>
          <w:ilvl w:val="2"/>
          <w:numId w:val="1"/>
        </w:numPr>
        <w:shd w:val="clear" w:color="auto" w:fill="FFFFFF"/>
        <w:spacing w:before="100" w:beforeAutospacing="1" w:after="0" w:line="336" w:lineRule="atLeast"/>
        <w:ind w:left="0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CD031F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La alimentación nutritiva y de calidad</w:t>
      </w:r>
    </w:p>
    <w:p w14:paraId="230ED067" w14:textId="77777777" w:rsidR="00CD031F" w:rsidRPr="00CD031F" w:rsidRDefault="00CD031F" w:rsidP="00FF60C6">
      <w:pPr>
        <w:numPr>
          <w:ilvl w:val="2"/>
          <w:numId w:val="1"/>
        </w:numPr>
        <w:shd w:val="clear" w:color="auto" w:fill="FFFFFF"/>
        <w:spacing w:before="100" w:beforeAutospacing="1" w:after="0" w:line="336" w:lineRule="atLeast"/>
        <w:ind w:left="0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CD031F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La vivienda</w:t>
      </w:r>
    </w:p>
    <w:p w14:paraId="0A5DB42C" w14:textId="77777777" w:rsidR="00CD031F" w:rsidRPr="00CD031F" w:rsidRDefault="00CD031F" w:rsidP="00FF60C6">
      <w:pPr>
        <w:numPr>
          <w:ilvl w:val="2"/>
          <w:numId w:val="1"/>
        </w:numPr>
        <w:shd w:val="clear" w:color="auto" w:fill="FFFFFF"/>
        <w:spacing w:before="100" w:beforeAutospacing="1" w:after="0" w:line="336" w:lineRule="atLeast"/>
        <w:ind w:left="0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CD031F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El disfrute de un medio ambiente sano </w:t>
      </w:r>
    </w:p>
    <w:p w14:paraId="47D5AAAA" w14:textId="77777777" w:rsidR="00CD031F" w:rsidRPr="00CD031F" w:rsidRDefault="00CD031F" w:rsidP="00FF60C6">
      <w:pPr>
        <w:numPr>
          <w:ilvl w:val="2"/>
          <w:numId w:val="1"/>
        </w:numPr>
        <w:shd w:val="clear" w:color="auto" w:fill="FFFFFF"/>
        <w:spacing w:before="100" w:beforeAutospacing="1" w:after="0" w:line="336" w:lineRule="atLeast"/>
        <w:ind w:left="0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CD031F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El trabajo y la seguridad social</w:t>
      </w:r>
    </w:p>
    <w:p w14:paraId="6B011BD0" w14:textId="77777777" w:rsidR="00CD031F" w:rsidRPr="00CD031F" w:rsidRDefault="00CD031F" w:rsidP="00FF60C6">
      <w:pPr>
        <w:numPr>
          <w:ilvl w:val="2"/>
          <w:numId w:val="1"/>
        </w:numPr>
        <w:shd w:val="clear" w:color="auto" w:fill="FFFFFF"/>
        <w:spacing w:before="100" w:beforeAutospacing="1" w:after="0" w:line="336" w:lineRule="atLeast"/>
        <w:ind w:left="0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CD031F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Los derechos relativos a la no discriminación, en los términos de la Constitución Política de los Estados Unidos Mexicanos</w:t>
      </w:r>
    </w:p>
    <w:p w14:paraId="2494F586" w14:textId="77777777" w:rsidR="00CD031F" w:rsidRPr="00CD031F" w:rsidRDefault="00CD031F" w:rsidP="00FF60C6">
      <w:pPr>
        <w:shd w:val="clear" w:color="auto" w:fill="FFFFFF"/>
        <w:spacing w:before="300" w:after="0" w:line="240" w:lineRule="auto"/>
        <w:jc w:val="both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CD031F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En el artículo 36 de la LGDS, se señala que la pobreza debe medirse utilizando, al menos, los siguientes indicadores:</w:t>
      </w:r>
    </w:p>
    <w:p w14:paraId="019BCC02" w14:textId="77777777" w:rsidR="00CD031F" w:rsidRPr="00CD031F" w:rsidRDefault="00CD031F" w:rsidP="00FF60C6">
      <w:pPr>
        <w:numPr>
          <w:ilvl w:val="0"/>
          <w:numId w:val="2"/>
        </w:numPr>
        <w:shd w:val="clear" w:color="auto" w:fill="FFFFFF"/>
        <w:spacing w:before="100" w:beforeAutospacing="1" w:after="0" w:line="336" w:lineRule="atLeast"/>
        <w:ind w:left="600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CD031F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Ingreso corriente per cápita</w:t>
      </w:r>
    </w:p>
    <w:p w14:paraId="50EE104A" w14:textId="77777777" w:rsidR="00CD031F" w:rsidRPr="00CD031F" w:rsidRDefault="00CD031F" w:rsidP="00FF60C6">
      <w:pPr>
        <w:numPr>
          <w:ilvl w:val="0"/>
          <w:numId w:val="2"/>
        </w:numPr>
        <w:shd w:val="clear" w:color="auto" w:fill="FFFFFF"/>
        <w:spacing w:before="100" w:beforeAutospacing="1" w:after="0" w:line="336" w:lineRule="atLeast"/>
        <w:ind w:left="600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CD031F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Rezago educativo promedio en el hogar</w:t>
      </w:r>
    </w:p>
    <w:p w14:paraId="57F3BD20" w14:textId="77777777" w:rsidR="00CD031F" w:rsidRPr="00CD031F" w:rsidRDefault="00CD031F" w:rsidP="00FF60C6">
      <w:pPr>
        <w:numPr>
          <w:ilvl w:val="0"/>
          <w:numId w:val="2"/>
        </w:numPr>
        <w:shd w:val="clear" w:color="auto" w:fill="FFFFFF"/>
        <w:spacing w:before="100" w:beforeAutospacing="1" w:after="0" w:line="336" w:lineRule="atLeast"/>
        <w:ind w:left="600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CD031F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lastRenderedPageBreak/>
        <w:t>Acceso a los servicios de salud</w:t>
      </w:r>
    </w:p>
    <w:p w14:paraId="3CAB5C8D" w14:textId="77777777" w:rsidR="00CD031F" w:rsidRPr="00CD031F" w:rsidRDefault="00CD031F" w:rsidP="00FF60C6">
      <w:pPr>
        <w:numPr>
          <w:ilvl w:val="0"/>
          <w:numId w:val="2"/>
        </w:numPr>
        <w:shd w:val="clear" w:color="auto" w:fill="FFFFFF"/>
        <w:spacing w:before="100" w:beforeAutospacing="1" w:after="0" w:line="336" w:lineRule="atLeast"/>
        <w:ind w:left="600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CD031F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Acceso a la seguridad social</w:t>
      </w:r>
    </w:p>
    <w:p w14:paraId="150A6498" w14:textId="77777777" w:rsidR="00CD031F" w:rsidRPr="00CD031F" w:rsidRDefault="00CD031F" w:rsidP="00FF60C6">
      <w:pPr>
        <w:numPr>
          <w:ilvl w:val="0"/>
          <w:numId w:val="2"/>
        </w:numPr>
        <w:shd w:val="clear" w:color="auto" w:fill="FFFFFF"/>
        <w:spacing w:before="100" w:beforeAutospacing="1" w:after="0" w:line="336" w:lineRule="atLeast"/>
        <w:ind w:left="600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CD031F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Calidad y espacios de la vivienda</w:t>
      </w:r>
    </w:p>
    <w:p w14:paraId="4AC1C6C0" w14:textId="77777777" w:rsidR="00CD031F" w:rsidRPr="00CD031F" w:rsidRDefault="00CD031F" w:rsidP="00FF60C6">
      <w:pPr>
        <w:numPr>
          <w:ilvl w:val="0"/>
          <w:numId w:val="2"/>
        </w:numPr>
        <w:shd w:val="clear" w:color="auto" w:fill="FFFFFF"/>
        <w:spacing w:before="100" w:beforeAutospacing="1" w:after="0" w:line="336" w:lineRule="atLeast"/>
        <w:ind w:left="600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CD031F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Acceso a los servicios básicos en la vivienda</w:t>
      </w:r>
    </w:p>
    <w:p w14:paraId="06F2A20C" w14:textId="77777777" w:rsidR="00CD031F" w:rsidRPr="00CD031F" w:rsidRDefault="00CD031F" w:rsidP="00FF60C6">
      <w:pPr>
        <w:numPr>
          <w:ilvl w:val="0"/>
          <w:numId w:val="2"/>
        </w:numPr>
        <w:shd w:val="clear" w:color="auto" w:fill="FFFFFF"/>
        <w:spacing w:before="100" w:beforeAutospacing="1" w:after="0" w:line="336" w:lineRule="atLeast"/>
        <w:ind w:left="600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CD031F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Acceso a la alimentación nutritiva y de calidad</w:t>
      </w:r>
    </w:p>
    <w:p w14:paraId="253F6839" w14:textId="77777777" w:rsidR="00CD031F" w:rsidRPr="00CD031F" w:rsidRDefault="00CD031F" w:rsidP="00FF60C6">
      <w:pPr>
        <w:numPr>
          <w:ilvl w:val="0"/>
          <w:numId w:val="2"/>
        </w:numPr>
        <w:shd w:val="clear" w:color="auto" w:fill="FFFFFF"/>
        <w:spacing w:before="100" w:beforeAutospacing="1" w:after="0" w:line="336" w:lineRule="atLeast"/>
        <w:ind w:left="600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CD031F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Grado de cohesión social</w:t>
      </w:r>
    </w:p>
    <w:p w14:paraId="0C8E1F96" w14:textId="77777777" w:rsidR="00CD031F" w:rsidRPr="00CD031F" w:rsidRDefault="00CD031F" w:rsidP="00FF60C6">
      <w:pPr>
        <w:numPr>
          <w:ilvl w:val="0"/>
          <w:numId w:val="2"/>
        </w:numPr>
        <w:shd w:val="clear" w:color="auto" w:fill="FFFFFF"/>
        <w:spacing w:before="100" w:beforeAutospacing="1" w:after="0" w:line="336" w:lineRule="atLeast"/>
        <w:ind w:left="600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CD031F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Grado de accesibilidad a carretera pavimentada</w:t>
      </w:r>
    </w:p>
    <w:p w14:paraId="1B25698E" w14:textId="4D86B3C2" w:rsidR="00CD031F" w:rsidRDefault="00CD031F" w:rsidP="00CD031F">
      <w:pPr>
        <w:rPr>
          <w:rFonts w:ascii="Helvetica" w:hAnsi="Helvetica" w:cs="Helvetica"/>
          <w:color w:val="313131"/>
          <w:shd w:val="clear" w:color="auto" w:fill="FFFFFF"/>
        </w:rPr>
      </w:pPr>
    </w:p>
    <w:p w14:paraId="43AB0154" w14:textId="7A8C4673" w:rsidR="00FF60C6" w:rsidRDefault="00FF60C6" w:rsidP="00FF60C6">
      <w:pPr>
        <w:jc w:val="both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La LGDS, en su artículo 37, señala que la información que deberá utilizar el CONEVAL para la medición de la pobreza en México es la que genere el Instituto Nacional de Estadística y Geografía (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Inegi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). Además, la periodicidad que establece la Ley para la medición es de mínimo dos años para información nacional y estatal y cinco para la desagregación municipal.</w:t>
      </w:r>
    </w:p>
    <w:p w14:paraId="72779EF6" w14:textId="0157D715" w:rsidR="00FF60C6" w:rsidRDefault="00FF60C6" w:rsidP="00FF60C6">
      <w:pPr>
        <w:jc w:val="both"/>
        <w:rPr>
          <w:rFonts w:ascii="Helvetica" w:hAnsi="Helvetica" w:cs="Helvetica"/>
          <w:color w:val="313131"/>
          <w:shd w:val="clear" w:color="auto" w:fill="FFFFFF"/>
        </w:rPr>
      </w:pPr>
    </w:p>
    <w:p w14:paraId="43D6A255" w14:textId="77777777" w:rsidR="00FF60C6" w:rsidRPr="00FF60C6" w:rsidRDefault="00FF60C6" w:rsidP="00FF60C6">
      <w:pPr>
        <w:pStyle w:val="Ttulo2"/>
        <w:shd w:val="clear" w:color="auto" w:fill="FFFFFF"/>
        <w:spacing w:before="0" w:line="336" w:lineRule="atLeast"/>
        <w:jc w:val="center"/>
        <w:rPr>
          <w:rFonts w:ascii="Helvetica" w:hAnsi="Helvetica" w:cs="Helvetica"/>
          <w:b/>
          <w:bCs/>
          <w:color w:val="474747"/>
        </w:rPr>
      </w:pPr>
      <w:r w:rsidRPr="00FF60C6">
        <w:rPr>
          <w:rFonts w:ascii="Helvetica" w:hAnsi="Helvetica" w:cs="Helvetica"/>
          <w:b/>
          <w:bCs/>
          <w:color w:val="474747"/>
        </w:rPr>
        <w:t>Tema 2. Dimensiones de la pobreza: bienestar económico y derechos sociales</w:t>
      </w:r>
    </w:p>
    <w:p w14:paraId="751D8418" w14:textId="1C1E7AC3" w:rsidR="00FF60C6" w:rsidRDefault="00FF60C6" w:rsidP="00FF60C6">
      <w:pPr>
        <w:jc w:val="both"/>
        <w:rPr>
          <w:rFonts w:ascii="Helvetica" w:hAnsi="Helvetica" w:cs="Helvetica"/>
          <w:color w:val="313131"/>
          <w:shd w:val="clear" w:color="auto" w:fill="FFFFFF"/>
        </w:rPr>
      </w:pPr>
    </w:p>
    <w:p w14:paraId="3968087A" w14:textId="77777777" w:rsidR="00FF60C6" w:rsidRDefault="00FF60C6" w:rsidP="00FF60C6">
      <w:pPr>
        <w:jc w:val="both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Los ordenamientos de la LGDS permiten identificar dos grandes enfoques que analizan el carácter multidimensional de la pobreza: </w:t>
      </w:r>
      <w:r>
        <w:rPr>
          <w:rStyle w:val="Textoennegrita"/>
          <w:rFonts w:ascii="Helvetica" w:hAnsi="Helvetica" w:cs="Helvetica"/>
          <w:color w:val="313131"/>
          <w:shd w:val="clear" w:color="auto" w:fill="FFFFFF"/>
        </w:rPr>
        <w:t>el de bienestar y el de derechos</w:t>
      </w:r>
      <w:r>
        <w:rPr>
          <w:rFonts w:ascii="Helvetica" w:hAnsi="Helvetica" w:cs="Helvetica"/>
          <w:color w:val="313131"/>
          <w:shd w:val="clear" w:color="auto" w:fill="FFFFFF"/>
        </w:rPr>
        <w:t xml:space="preserve">. </w:t>
      </w:r>
    </w:p>
    <w:p w14:paraId="6D43D5B8" w14:textId="77777777" w:rsidR="00FF60C6" w:rsidRPr="00FF60C6" w:rsidRDefault="00FF60C6" w:rsidP="00FF60C6">
      <w:pPr>
        <w:pStyle w:val="Prrafodelista"/>
        <w:numPr>
          <w:ilvl w:val="0"/>
          <w:numId w:val="3"/>
        </w:numPr>
        <w:jc w:val="both"/>
        <w:rPr>
          <w:rFonts w:ascii="Helvetica" w:hAnsi="Helvetica" w:cs="Helvetica"/>
          <w:color w:val="313131"/>
          <w:shd w:val="clear" w:color="auto" w:fill="FFFFFF"/>
        </w:rPr>
      </w:pPr>
      <w:r w:rsidRPr="00FF60C6">
        <w:rPr>
          <w:rFonts w:ascii="Helvetica" w:hAnsi="Helvetica" w:cs="Helvetica"/>
          <w:color w:val="313131"/>
          <w:shd w:val="clear" w:color="auto" w:fill="FFFFFF"/>
        </w:rPr>
        <w:t>El primero circunscribe las aproximaciones de necesidades básicas insatisfechas de activos, de capacidades, entre otras (</w:t>
      </w:r>
      <w:proofErr w:type="spellStart"/>
      <w:r w:rsidRPr="00FF60C6">
        <w:rPr>
          <w:rFonts w:ascii="Helvetica" w:hAnsi="Helvetica" w:cs="Helvetica"/>
          <w:color w:val="313131"/>
          <w:shd w:val="clear" w:color="auto" w:fill="FFFFFF"/>
        </w:rPr>
        <w:t>Attanasio</w:t>
      </w:r>
      <w:proofErr w:type="spellEnd"/>
      <w:r w:rsidRPr="00FF60C6">
        <w:rPr>
          <w:rFonts w:ascii="Helvetica" w:hAnsi="Helvetica" w:cs="Helvetica"/>
          <w:color w:val="313131"/>
          <w:shd w:val="clear" w:color="auto" w:fill="FFFFFF"/>
        </w:rPr>
        <w:t xml:space="preserve"> y </w:t>
      </w:r>
      <w:proofErr w:type="spellStart"/>
      <w:r w:rsidRPr="00FF60C6">
        <w:rPr>
          <w:rFonts w:ascii="Helvetica" w:hAnsi="Helvetica" w:cs="Helvetica"/>
          <w:color w:val="313131"/>
          <w:shd w:val="clear" w:color="auto" w:fill="FFFFFF"/>
        </w:rPr>
        <w:t>Székely</w:t>
      </w:r>
      <w:proofErr w:type="spellEnd"/>
      <w:r w:rsidRPr="00FF60C6">
        <w:rPr>
          <w:rFonts w:ascii="Helvetica" w:hAnsi="Helvetica" w:cs="Helvetica"/>
          <w:color w:val="313131"/>
          <w:shd w:val="clear" w:color="auto" w:fill="FFFFFF"/>
        </w:rPr>
        <w:t xml:space="preserve">, 2001, 1999; Grupo de Río, 2006; </w:t>
      </w:r>
      <w:proofErr w:type="spellStart"/>
      <w:r w:rsidRPr="00FF60C6">
        <w:rPr>
          <w:rFonts w:ascii="Helvetica" w:hAnsi="Helvetica" w:cs="Helvetica"/>
          <w:color w:val="313131"/>
          <w:shd w:val="clear" w:color="auto" w:fill="FFFFFF"/>
        </w:rPr>
        <w:t>Ravallion</w:t>
      </w:r>
      <w:proofErr w:type="spellEnd"/>
      <w:r w:rsidRPr="00FF60C6">
        <w:rPr>
          <w:rFonts w:ascii="Helvetica" w:hAnsi="Helvetica" w:cs="Helvetica"/>
          <w:color w:val="313131"/>
          <w:shd w:val="clear" w:color="auto" w:fill="FFFFFF"/>
        </w:rPr>
        <w:t>, 1998; Sen, 1992, 1980). </w:t>
      </w:r>
    </w:p>
    <w:p w14:paraId="5858432F" w14:textId="17D0231C" w:rsidR="00FF60C6" w:rsidRDefault="00FF60C6" w:rsidP="00FF60C6">
      <w:pPr>
        <w:pStyle w:val="Prrafodelista"/>
        <w:numPr>
          <w:ilvl w:val="0"/>
          <w:numId w:val="3"/>
        </w:numPr>
        <w:jc w:val="both"/>
        <w:rPr>
          <w:rFonts w:ascii="Helvetica" w:hAnsi="Helvetica" w:cs="Helvetica"/>
          <w:color w:val="313131"/>
          <w:shd w:val="clear" w:color="auto" w:fill="FFFFFF"/>
        </w:rPr>
      </w:pPr>
      <w:r w:rsidRPr="00FF60C6">
        <w:rPr>
          <w:rFonts w:ascii="Helvetica" w:hAnsi="Helvetica" w:cs="Helvetica"/>
          <w:color w:val="313131"/>
          <w:shd w:val="clear" w:color="auto" w:fill="FFFFFF"/>
        </w:rPr>
        <w:t>El segundo está asociado a la existencia de garantías fundamentales, inalienables, insustituibles e interdependientes, por lo que, desde esta perspectiva, la pobreza constituye, en sí misma, una negación de los derechos humanos (PNUD, 2003b; Robinson, 2001; CDESC, 2001; ONU, 2004).</w:t>
      </w:r>
    </w:p>
    <w:p w14:paraId="33C10BE0" w14:textId="77777777" w:rsidR="00FF60C6" w:rsidRPr="00FF60C6" w:rsidRDefault="00FF60C6" w:rsidP="00FF60C6">
      <w:pPr>
        <w:shd w:val="clear" w:color="auto" w:fill="FFFFFF"/>
        <w:spacing w:before="300" w:after="340" w:line="240" w:lineRule="auto"/>
        <w:jc w:val="both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FF60C6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En la metodología de medición multidimensional establecida en México, se consideran </w:t>
      </w:r>
      <w:r w:rsidRPr="00FF60C6">
        <w:rPr>
          <w:rFonts w:ascii="Helvetica" w:eastAsia="Times New Roman" w:hAnsi="Helvetica" w:cs="Helvetica"/>
          <w:i/>
          <w:iCs/>
          <w:color w:val="313131"/>
          <w:sz w:val="24"/>
          <w:szCs w:val="24"/>
          <w:highlight w:val="yellow"/>
          <w:lang w:eastAsia="es-MX"/>
        </w:rPr>
        <w:t>dimensiones constitutivas de la pobreza</w:t>
      </w:r>
      <w:r w:rsidRPr="00FF60C6">
        <w:rPr>
          <w:rFonts w:ascii="Helvetica" w:eastAsia="Times New Roman" w:hAnsi="Helvetica" w:cs="Helvetica"/>
          <w:color w:val="313131"/>
          <w:sz w:val="24"/>
          <w:szCs w:val="24"/>
          <w:highlight w:val="yellow"/>
          <w:lang w:eastAsia="es-MX"/>
        </w:rPr>
        <w:t> a todas aquellas asociadas a los indicadores mencionados en el artículo 36 de la LGDS, a excepción de la cohesión social</w:t>
      </w:r>
      <w:r w:rsidRPr="00FF60C6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. Para efectos de identificación de la población en situación de pobreza y conforme al marco conceptual, estas dimensiones se dividen en dos grupos:</w:t>
      </w:r>
    </w:p>
    <w:p w14:paraId="0FF157B6" w14:textId="77777777" w:rsidR="00FF60C6" w:rsidRPr="00FF60C6" w:rsidRDefault="00FF60C6" w:rsidP="00FF60C6">
      <w:pPr>
        <w:numPr>
          <w:ilvl w:val="3"/>
          <w:numId w:val="4"/>
        </w:numPr>
        <w:shd w:val="clear" w:color="auto" w:fill="FFFFFF"/>
        <w:spacing w:before="100" w:beforeAutospacing="1" w:after="170" w:line="336" w:lineRule="atLeast"/>
        <w:ind w:left="0"/>
        <w:jc w:val="both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FF60C6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 xml:space="preserve">Dimensión asociada al </w:t>
      </w:r>
      <w:r w:rsidRPr="00FF60C6">
        <w:rPr>
          <w:rFonts w:ascii="Helvetica" w:eastAsia="Times New Roman" w:hAnsi="Helvetica" w:cs="Helvetica"/>
          <w:color w:val="313131"/>
          <w:sz w:val="24"/>
          <w:szCs w:val="24"/>
          <w:highlight w:val="yellow"/>
          <w:lang w:eastAsia="es-MX"/>
        </w:rPr>
        <w:t>espacio del bienestar económico</w:t>
      </w:r>
      <w:r w:rsidRPr="00FF60C6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, la cual se mide operativamente por el indicador de ingreso corriente per cápita.</w:t>
      </w:r>
    </w:p>
    <w:p w14:paraId="38BE9199" w14:textId="5BEC8337" w:rsidR="00FF60C6" w:rsidRDefault="00FF60C6" w:rsidP="00FF60C6">
      <w:pPr>
        <w:numPr>
          <w:ilvl w:val="3"/>
          <w:numId w:val="4"/>
        </w:numPr>
        <w:shd w:val="clear" w:color="auto" w:fill="FFFFFF"/>
        <w:spacing w:before="100" w:beforeAutospacing="1" w:after="170" w:line="336" w:lineRule="atLeast"/>
        <w:ind w:left="0"/>
        <w:jc w:val="both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FF60C6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 xml:space="preserve">Dimensiones asociadas a los </w:t>
      </w:r>
      <w:r w:rsidRPr="00FF60C6">
        <w:rPr>
          <w:rFonts w:ascii="Helvetica" w:eastAsia="Times New Roman" w:hAnsi="Helvetica" w:cs="Helvetica"/>
          <w:color w:val="313131"/>
          <w:sz w:val="24"/>
          <w:szCs w:val="24"/>
          <w:highlight w:val="yellow"/>
          <w:lang w:eastAsia="es-MX"/>
        </w:rPr>
        <w:t>derechos sociales</w:t>
      </w:r>
      <w:r w:rsidRPr="00FF60C6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, es decir, la educación, la salud, la seguridad social, la alimentación, la vivienda y sus servicios, las cuales se miden por medio de los seis indicadores de carencia social referidos.</w:t>
      </w:r>
    </w:p>
    <w:p w14:paraId="01E46211" w14:textId="77777777" w:rsidR="00FF60C6" w:rsidRPr="00FF60C6" w:rsidRDefault="00FF60C6" w:rsidP="00FF60C6">
      <w:pPr>
        <w:shd w:val="clear" w:color="auto" w:fill="FFFFFF"/>
        <w:spacing w:before="300" w:after="340" w:line="240" w:lineRule="auto"/>
        <w:jc w:val="both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FF60C6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lastRenderedPageBreak/>
        <w:t>Dado que la pobreza es también una experiencia local y circunstancial (ONU, 2004), es decir, va más allá del ámbito individual</w:t>
      </w:r>
      <w:r w:rsidRPr="00FF60C6">
        <w:rPr>
          <w:rFonts w:ascii="Helvetica" w:eastAsia="Times New Roman" w:hAnsi="Helvetica" w:cs="Helvetica"/>
          <w:color w:val="313131"/>
          <w:sz w:val="24"/>
          <w:szCs w:val="24"/>
          <w:highlight w:val="yellow"/>
          <w:lang w:eastAsia="es-MX"/>
        </w:rPr>
        <w:t>, la LGDS considera también elementos comunitarios o locales, cuya identificación descansa en criterios territoriales para definir el contexto territorial.</w:t>
      </w:r>
    </w:p>
    <w:p w14:paraId="26DFA501" w14:textId="0260009D" w:rsidR="00FF60C6" w:rsidRDefault="00FF60C6" w:rsidP="00FF60C6">
      <w:pPr>
        <w:jc w:val="center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noProof/>
          <w:color w:val="313131"/>
          <w:shd w:val="clear" w:color="auto" w:fill="FFFFFF"/>
        </w:rPr>
        <w:drawing>
          <wp:inline distT="0" distB="0" distL="0" distR="0" wp14:anchorId="7A633F80" wp14:editId="0E380CB3">
            <wp:extent cx="4344408" cy="26479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062" cy="264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2E00" w14:textId="7ED3151C" w:rsidR="000725B0" w:rsidRDefault="000725B0" w:rsidP="00FF60C6">
      <w:pPr>
        <w:jc w:val="center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noProof/>
          <w:color w:val="313131"/>
          <w:shd w:val="clear" w:color="auto" w:fill="FFFFFF"/>
        </w:rPr>
        <w:drawing>
          <wp:inline distT="0" distB="0" distL="0" distR="0" wp14:anchorId="66A29B65" wp14:editId="42B46F22">
            <wp:extent cx="5610225" cy="32956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3B17" w14:textId="77777777" w:rsidR="000725B0" w:rsidRDefault="000725B0" w:rsidP="000725B0">
      <w:pPr>
        <w:rPr>
          <w:rStyle w:val="Textoennegrita"/>
          <w:rFonts w:ascii="Helvetica" w:hAnsi="Helvetica" w:cs="Helvetica"/>
          <w:color w:val="339966"/>
          <w:shd w:val="clear" w:color="auto" w:fill="FFFFFF"/>
        </w:rPr>
      </w:pPr>
    </w:p>
    <w:p w14:paraId="02DDD7E0" w14:textId="7EB27C7C" w:rsidR="000725B0" w:rsidRDefault="000725B0" w:rsidP="000725B0">
      <w:pPr>
        <w:rPr>
          <w:rStyle w:val="Textoennegrita"/>
          <w:rFonts w:ascii="Helvetica" w:hAnsi="Helvetica" w:cs="Helvetica"/>
          <w:color w:val="339966"/>
          <w:shd w:val="clear" w:color="auto" w:fill="FFFFFF"/>
        </w:rPr>
      </w:pPr>
      <w:r>
        <w:rPr>
          <w:rStyle w:val="Textoennegrita"/>
          <w:rFonts w:ascii="Helvetica" w:hAnsi="Helvetica" w:cs="Helvetica"/>
          <w:color w:val="339966"/>
          <w:shd w:val="clear" w:color="auto" w:fill="FFFFFF"/>
        </w:rPr>
        <w:t>2.1 Espacio de bienestar económico</w:t>
      </w:r>
    </w:p>
    <w:p w14:paraId="205EAC44" w14:textId="1BC0D8FC" w:rsidR="00034AC4" w:rsidRDefault="00034AC4" w:rsidP="000725B0">
      <w:pPr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Bienestar económico. Se identifica a la población cuyos ingresos son insuficientes para adquirir los bienes y servicios que requiere para satisfacer sus necesidades.</w:t>
      </w:r>
    </w:p>
    <w:p w14:paraId="5051099F" w14:textId="4348F94A" w:rsidR="00034AC4" w:rsidRDefault="00034AC4" w:rsidP="000725B0">
      <w:pPr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lastRenderedPageBreak/>
        <w:t>R</w:t>
      </w:r>
      <w:r>
        <w:rPr>
          <w:rFonts w:ascii="Helvetica" w:hAnsi="Helvetica" w:cs="Helvetica"/>
          <w:color w:val="313131"/>
          <w:shd w:val="clear" w:color="auto" w:fill="FFFFFF"/>
        </w:rPr>
        <w:t>epresenta el flujo de entradas no necesariamente monetarias (puede incluir los productos recibidos o disponibles en especie, entre otros), que les permiten a los hogares obtener los satisfactores que requieren, sin disminuir los bienes o activos que poseen.</w:t>
      </w:r>
    </w:p>
    <w:p w14:paraId="61907528" w14:textId="6CA4EAE7" w:rsidR="00034AC4" w:rsidRDefault="00034AC4" w:rsidP="000725B0">
      <w:pPr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E</w:t>
      </w:r>
      <w:r>
        <w:rPr>
          <w:rFonts w:ascii="Helvetica" w:hAnsi="Helvetica" w:cs="Helvetica"/>
          <w:color w:val="313131"/>
          <w:shd w:val="clear" w:color="auto" w:fill="FFFFFF"/>
        </w:rPr>
        <w:t xml:space="preserve">l ingreso corriente del hogar es ajustado, a fin de reflejar las diferencias en la composición del hogar (de acuerdo con su tamaño, edad de sus integrantes y otras características). De esta forma, se retoma el </w:t>
      </w:r>
      <w:r w:rsidRPr="00034AC4">
        <w:rPr>
          <w:rFonts w:ascii="Helvetica" w:hAnsi="Helvetica" w:cs="Helvetica"/>
          <w:b/>
          <w:bCs/>
          <w:color w:val="313131"/>
          <w:shd w:val="clear" w:color="auto" w:fill="FFFFFF"/>
        </w:rPr>
        <w:t>indicador de ingreso corriente del hogar</w:t>
      </w:r>
      <w:r>
        <w:rPr>
          <w:rFonts w:ascii="Helvetica" w:hAnsi="Helvetica" w:cs="Helvetica"/>
          <w:color w:val="313131"/>
          <w:shd w:val="clear" w:color="auto" w:fill="FFFFFF"/>
        </w:rPr>
        <w:t xml:space="preserve"> conforme a lo dispuesto en el artículo 36 de la LGDS.</w:t>
      </w:r>
    </w:p>
    <w:p w14:paraId="0DD4873F" w14:textId="2D5541F2" w:rsidR="00034AC4" w:rsidRDefault="00034AC4" w:rsidP="000725B0">
      <w:pPr>
        <w:rPr>
          <w:rFonts w:ascii="Helvetica" w:hAnsi="Helvetica" w:cs="Helvetica"/>
          <w:color w:val="313131"/>
          <w:shd w:val="clear" w:color="auto" w:fill="FFFFFF"/>
        </w:rPr>
      </w:pPr>
    </w:p>
    <w:p w14:paraId="3ACFB463" w14:textId="31245274" w:rsidR="00034AC4" w:rsidRDefault="00034AC4" w:rsidP="000725B0">
      <w:pPr>
        <w:rPr>
          <w:rStyle w:val="Textoennegrita"/>
          <w:rFonts w:ascii="Helvetica" w:hAnsi="Helvetica" w:cs="Helvetica"/>
          <w:color w:val="339966"/>
          <w:shd w:val="clear" w:color="auto" w:fill="FFFFFF"/>
        </w:rPr>
      </w:pPr>
      <w:r>
        <w:rPr>
          <w:rStyle w:val="Textoennegrita"/>
          <w:rFonts w:ascii="Helvetica" w:hAnsi="Helvetica" w:cs="Helvetica"/>
          <w:color w:val="339966"/>
          <w:shd w:val="clear" w:color="auto" w:fill="FFFFFF"/>
        </w:rPr>
        <w:t>2.2 Espacio de los derechos sociales</w:t>
      </w:r>
    </w:p>
    <w:p w14:paraId="7A04B7E6" w14:textId="66E22E0D" w:rsidR="00034AC4" w:rsidRDefault="00034AC4" w:rsidP="000725B0">
      <w:pPr>
        <w:rPr>
          <w:rFonts w:ascii="Helvetica" w:hAnsi="Helvetica" w:cs="Helvetica"/>
          <w:b/>
          <w:bCs/>
          <w:color w:val="FF0000"/>
          <w:u w:val="single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 xml:space="preserve">Derechos sociales. Se identifica a la población con </w:t>
      </w:r>
      <w:r w:rsidRPr="00034AC4">
        <w:rPr>
          <w:rFonts w:ascii="Helvetica" w:hAnsi="Helvetica" w:cs="Helvetica"/>
          <w:b/>
          <w:bCs/>
          <w:color w:val="313131"/>
          <w:shd w:val="clear" w:color="auto" w:fill="FFFFFF"/>
        </w:rPr>
        <w:t>al menos una carencia social en los indicadores asociados a este espacio</w:t>
      </w:r>
      <w:r>
        <w:rPr>
          <w:rFonts w:ascii="Helvetica" w:hAnsi="Helvetica" w:cs="Helvetica"/>
          <w:color w:val="313131"/>
          <w:shd w:val="clear" w:color="auto" w:fill="FFFFFF"/>
        </w:rPr>
        <w:t xml:space="preserve">. </w:t>
      </w:r>
      <w:r w:rsidRPr="00034AC4">
        <w:rPr>
          <w:rFonts w:ascii="Helvetica" w:hAnsi="Helvetica" w:cs="Helvetica"/>
          <w:color w:val="FF0000"/>
          <w:shd w:val="clear" w:color="auto" w:fill="FFFFFF"/>
        </w:rPr>
        <w:t xml:space="preserve">A la medida agregada </w:t>
      </w:r>
      <w:r>
        <w:rPr>
          <w:rFonts w:ascii="Helvetica" w:hAnsi="Helvetica" w:cs="Helvetica"/>
          <w:color w:val="313131"/>
          <w:shd w:val="clear" w:color="auto" w:fill="FFFFFF"/>
        </w:rPr>
        <w:t xml:space="preserve">de estas carencias se le </w:t>
      </w:r>
      <w:r w:rsidRPr="00034AC4">
        <w:rPr>
          <w:rFonts w:ascii="Helvetica" w:hAnsi="Helvetica" w:cs="Helvetica"/>
          <w:color w:val="FF0000"/>
          <w:shd w:val="clear" w:color="auto" w:fill="FFFFFF"/>
        </w:rPr>
        <w:t>denominará </w:t>
      </w:r>
      <w:r w:rsidRPr="00034AC4">
        <w:rPr>
          <w:rStyle w:val="nfasis"/>
          <w:rFonts w:ascii="Helvetica" w:hAnsi="Helvetica" w:cs="Helvetica"/>
          <w:b/>
          <w:bCs/>
          <w:color w:val="FF0000"/>
          <w:u w:val="single"/>
          <w:shd w:val="clear" w:color="auto" w:fill="FFFFFF"/>
        </w:rPr>
        <w:t>índice de privación social</w:t>
      </w:r>
      <w:r w:rsidRPr="00034AC4">
        <w:rPr>
          <w:rFonts w:ascii="Helvetica" w:hAnsi="Helvetica" w:cs="Helvetica"/>
          <w:b/>
          <w:bCs/>
          <w:color w:val="FF0000"/>
          <w:u w:val="single"/>
          <w:shd w:val="clear" w:color="auto" w:fill="FFFFFF"/>
        </w:rPr>
        <w:t>.</w:t>
      </w:r>
    </w:p>
    <w:p w14:paraId="550F7A31" w14:textId="0E0D9B4B" w:rsidR="00034AC4" w:rsidRDefault="00034AC4" w:rsidP="000725B0">
      <w:pPr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noProof/>
          <w:color w:val="313131"/>
          <w:shd w:val="clear" w:color="auto" w:fill="FFFFFF"/>
        </w:rPr>
        <w:drawing>
          <wp:inline distT="0" distB="0" distL="0" distR="0" wp14:anchorId="1E6EE650" wp14:editId="15D01DD0">
            <wp:extent cx="5610225" cy="25812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B354F" w14:textId="6D71D371" w:rsidR="00034AC4" w:rsidRDefault="00034AC4" w:rsidP="000725B0">
      <w:pPr>
        <w:rPr>
          <w:rFonts w:ascii="Helvetica" w:hAnsi="Helvetica" w:cs="Helvetica"/>
          <w:color w:val="313131"/>
          <w:shd w:val="clear" w:color="auto" w:fill="FFFFFF"/>
        </w:rPr>
      </w:pPr>
    </w:p>
    <w:p w14:paraId="42C97B47" w14:textId="36D04F6A" w:rsidR="00034AC4" w:rsidRDefault="00034AC4" w:rsidP="000725B0">
      <w:pPr>
        <w:rPr>
          <w:rStyle w:val="Textoennegrita"/>
          <w:rFonts w:ascii="Helvetica" w:hAnsi="Helvetica" w:cs="Helvetica"/>
          <w:color w:val="339966"/>
          <w:shd w:val="clear" w:color="auto" w:fill="FFFFFF"/>
        </w:rPr>
      </w:pPr>
      <w:r>
        <w:rPr>
          <w:rStyle w:val="Textoennegrita"/>
          <w:rFonts w:ascii="Helvetica" w:hAnsi="Helvetica" w:cs="Helvetica"/>
          <w:color w:val="339966"/>
          <w:shd w:val="clear" w:color="auto" w:fill="FFFFFF"/>
        </w:rPr>
        <w:t>2.3 Espacio del contexto territorial</w:t>
      </w:r>
    </w:p>
    <w:p w14:paraId="70836B4C" w14:textId="3F040D5E" w:rsidR="00034AC4" w:rsidRDefault="00034AC4" w:rsidP="000725B0">
      <w:pPr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Contexto territorial. Se incorporan factores contextuales que se analizan desde la óptica de la influencia que tienen en la sociedad y viceversa.</w:t>
      </w:r>
    </w:p>
    <w:p w14:paraId="1981AC23" w14:textId="1EB57E27" w:rsidR="00034AC4" w:rsidRDefault="00034AC4" w:rsidP="000725B0">
      <w:pPr>
        <w:rPr>
          <w:rFonts w:ascii="Helvetica" w:hAnsi="Helvetica" w:cs="Helvetica"/>
          <w:color w:val="313131"/>
          <w:shd w:val="clear" w:color="auto" w:fill="FFFFFF"/>
        </w:rPr>
      </w:pPr>
    </w:p>
    <w:p w14:paraId="33B563ED" w14:textId="60FB6A8E" w:rsidR="00034AC4" w:rsidRDefault="00034AC4" w:rsidP="000725B0">
      <w:pPr>
        <w:rPr>
          <w:rStyle w:val="Textoennegrita"/>
          <w:rFonts w:ascii="Helvetica" w:hAnsi="Helvetica" w:cs="Helvetica"/>
          <w:color w:val="339966"/>
          <w:shd w:val="clear" w:color="auto" w:fill="FFFFFF"/>
        </w:rPr>
      </w:pPr>
      <w:r>
        <w:rPr>
          <w:rStyle w:val="Textoennegrita"/>
          <w:rFonts w:ascii="Helvetica" w:hAnsi="Helvetica" w:cs="Helvetica"/>
          <w:color w:val="339966"/>
          <w:shd w:val="clear" w:color="auto" w:fill="FFFFFF"/>
        </w:rPr>
        <w:t>2.4 ¿Cómo se mide la pobreza en México?</w:t>
      </w:r>
    </w:p>
    <w:p w14:paraId="2833C632" w14:textId="74B0E609" w:rsidR="00034AC4" w:rsidRDefault="00034AC4" w:rsidP="000725B0">
      <w:pPr>
        <w:rPr>
          <w:rStyle w:val="Textoennegrita"/>
          <w:rFonts w:ascii="Helvetica" w:hAnsi="Helvetica" w:cs="Helvetica"/>
          <w:color w:val="339966"/>
          <w:shd w:val="clear" w:color="auto" w:fill="FFFFFF"/>
        </w:rPr>
      </w:pPr>
      <w:r>
        <w:rPr>
          <w:rStyle w:val="Textoennegrita"/>
          <w:rFonts w:ascii="Helvetica" w:hAnsi="Helvetica" w:cs="Helvetica"/>
          <w:color w:val="339966"/>
          <w:shd w:val="clear" w:color="auto" w:fill="FFFFFF"/>
        </w:rPr>
        <w:t>(Video)</w:t>
      </w:r>
    </w:p>
    <w:p w14:paraId="4175DF61" w14:textId="29C15647" w:rsidR="00034AC4" w:rsidRDefault="00034AC4" w:rsidP="000725B0">
      <w:pPr>
        <w:rPr>
          <w:rStyle w:val="Textoennegrita"/>
          <w:rFonts w:ascii="Helvetica" w:hAnsi="Helvetica" w:cs="Helvetica"/>
          <w:color w:val="339966"/>
          <w:shd w:val="clear" w:color="auto" w:fill="FFFFFF"/>
        </w:rPr>
      </w:pPr>
    </w:p>
    <w:p w14:paraId="7917BD94" w14:textId="1ED0C42A" w:rsidR="00034AC4" w:rsidRDefault="00034AC4" w:rsidP="000725B0">
      <w:pPr>
        <w:rPr>
          <w:rStyle w:val="Textoennegrita"/>
          <w:rFonts w:ascii="Helvetica" w:hAnsi="Helvetica" w:cs="Helvetica"/>
          <w:color w:val="339966"/>
          <w:shd w:val="clear" w:color="auto" w:fill="FFFFFF"/>
        </w:rPr>
      </w:pPr>
    </w:p>
    <w:p w14:paraId="4A023A3A" w14:textId="52809B09" w:rsidR="00034AC4" w:rsidRDefault="00034AC4" w:rsidP="000725B0">
      <w:pPr>
        <w:rPr>
          <w:rStyle w:val="Textoennegrita"/>
          <w:rFonts w:ascii="Helvetica" w:hAnsi="Helvetica" w:cs="Helvetica"/>
          <w:color w:val="339966"/>
          <w:shd w:val="clear" w:color="auto" w:fill="FFFFFF"/>
        </w:rPr>
      </w:pPr>
    </w:p>
    <w:p w14:paraId="1BB5D537" w14:textId="77777777" w:rsidR="00034AC4" w:rsidRPr="00034AC4" w:rsidRDefault="00034AC4" w:rsidP="00034AC4">
      <w:pPr>
        <w:pStyle w:val="Ttulo2"/>
        <w:shd w:val="clear" w:color="auto" w:fill="FFFFFF"/>
        <w:spacing w:before="0" w:line="336" w:lineRule="atLeast"/>
        <w:jc w:val="center"/>
        <w:rPr>
          <w:rFonts w:ascii="Helvetica" w:hAnsi="Helvetica" w:cs="Helvetica"/>
          <w:b/>
          <w:bCs/>
          <w:color w:val="474747"/>
        </w:rPr>
      </w:pPr>
      <w:r w:rsidRPr="00034AC4">
        <w:rPr>
          <w:rFonts w:ascii="Helvetica" w:hAnsi="Helvetica" w:cs="Helvetica"/>
          <w:b/>
          <w:bCs/>
          <w:color w:val="474747"/>
        </w:rPr>
        <w:lastRenderedPageBreak/>
        <w:t>Tema 3. Identificación de la población en situación de pobreza</w:t>
      </w:r>
    </w:p>
    <w:p w14:paraId="51E0D38E" w14:textId="65E5E736" w:rsidR="00034AC4" w:rsidRDefault="00034AC4" w:rsidP="000725B0">
      <w:pPr>
        <w:rPr>
          <w:rFonts w:ascii="Helvetica" w:hAnsi="Helvetica" w:cs="Helvetica"/>
          <w:color w:val="313131"/>
          <w:shd w:val="clear" w:color="auto" w:fill="FFFFFF"/>
        </w:rPr>
      </w:pPr>
    </w:p>
    <w:p w14:paraId="3FE3F063" w14:textId="62C59515" w:rsidR="00606F08" w:rsidRDefault="00606F08" w:rsidP="000725B0">
      <w:pPr>
        <w:rPr>
          <w:rStyle w:val="Textoennegrita"/>
          <w:rFonts w:ascii="Helvetica" w:hAnsi="Helvetica" w:cs="Helvetica"/>
          <w:color w:val="339966"/>
          <w:shd w:val="clear" w:color="auto" w:fill="FFFFFF"/>
        </w:rPr>
      </w:pPr>
      <w:r>
        <w:rPr>
          <w:rStyle w:val="Textoennegrita"/>
          <w:rFonts w:ascii="Helvetica" w:hAnsi="Helvetica" w:cs="Helvetica"/>
          <w:color w:val="339966"/>
          <w:shd w:val="clear" w:color="auto" w:fill="FFFFFF"/>
        </w:rPr>
        <w:t>3.1 Combinación de los espacios de bienestar y derechos: donde se juntan la insuficiencia de ingresos y las carencias sociales</w:t>
      </w:r>
    </w:p>
    <w:p w14:paraId="50F51FB8" w14:textId="09B07611" w:rsidR="00606F08" w:rsidRDefault="00606F08" w:rsidP="000725B0">
      <w:pPr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La identificación de la población en situación de pobreza se realiza en dos etapas: en la primera, se determina si los ingresos de una persona son insuficientes para la satisfacción de sus necesidades y si presenta carencias en cada uno de los seis indicadores. En la segunda, se combinan los indicadores generados en la etapa previa, a fin de reconocer a la población en situación de pobreza multidimensional.</w:t>
      </w:r>
    </w:p>
    <w:p w14:paraId="51AE3242" w14:textId="22CADDC7" w:rsidR="00606F08" w:rsidRDefault="00606F08" w:rsidP="000725B0">
      <w:pPr>
        <w:rPr>
          <w:rFonts w:ascii="Helvetica" w:hAnsi="Helvetica" w:cs="Helvetica"/>
          <w:color w:val="313131"/>
          <w:shd w:val="clear" w:color="auto" w:fill="FFFFFF"/>
        </w:rPr>
      </w:pPr>
    </w:p>
    <w:p w14:paraId="5BAADFED" w14:textId="5B65D3D3" w:rsidR="00606F08" w:rsidRDefault="00606F08" w:rsidP="000725B0">
      <w:pPr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noProof/>
          <w:color w:val="313131"/>
          <w:shd w:val="clear" w:color="auto" w:fill="FFFFFF"/>
        </w:rPr>
        <w:drawing>
          <wp:inline distT="0" distB="0" distL="0" distR="0" wp14:anchorId="4F6C6E09" wp14:editId="76EA9687">
            <wp:extent cx="4752975" cy="29813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360B" w14:textId="309DBC1A" w:rsidR="00606F08" w:rsidRDefault="00606F08" w:rsidP="000725B0">
      <w:pPr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noProof/>
          <w:color w:val="313131"/>
          <w:shd w:val="clear" w:color="auto" w:fill="FFFFFF"/>
        </w:rPr>
        <w:drawing>
          <wp:inline distT="0" distB="0" distL="0" distR="0" wp14:anchorId="71E63D42" wp14:editId="3CA1286C">
            <wp:extent cx="5029200" cy="28289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6019F" w14:textId="3F7E52F3" w:rsidR="00606F08" w:rsidRDefault="00606F08" w:rsidP="000725B0">
      <w:pPr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noProof/>
          <w:color w:val="313131"/>
          <w:shd w:val="clear" w:color="auto" w:fill="FFFFFF"/>
        </w:rPr>
        <w:lastRenderedPageBreak/>
        <w:drawing>
          <wp:inline distT="0" distB="0" distL="0" distR="0" wp14:anchorId="233473B8" wp14:editId="6A45AEA4">
            <wp:extent cx="5514975" cy="30194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060B" w14:textId="77777777" w:rsidR="00606F08" w:rsidRPr="00606F08" w:rsidRDefault="00606F08" w:rsidP="00606F08">
      <w:pPr>
        <w:numPr>
          <w:ilvl w:val="0"/>
          <w:numId w:val="5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606F08">
        <w:rPr>
          <w:rFonts w:ascii="Helvetica" w:eastAsia="Times New Roman" w:hAnsi="Helvetica" w:cs="Helvetica"/>
          <w:b/>
          <w:bCs/>
          <w:color w:val="313131"/>
          <w:sz w:val="24"/>
          <w:szCs w:val="24"/>
          <w:lang w:eastAsia="es-MX"/>
        </w:rPr>
        <w:t>Población en pobreza multidimensional</w:t>
      </w:r>
      <w:r w:rsidRPr="00606F08">
        <w:rPr>
          <w:rFonts w:ascii="inherit" w:eastAsia="Times New Roman" w:hAnsi="inherit" w:cs="Helvetica"/>
          <w:color w:val="313131"/>
          <w:sz w:val="24"/>
          <w:szCs w:val="24"/>
          <w:lang w:eastAsia="es-MX"/>
        </w:rPr>
        <w:t>: población con ingreso inferior al valor de la Línea de Pobreza por Ingresos y que padece, al menos, una carencia social.</w:t>
      </w:r>
    </w:p>
    <w:p w14:paraId="66B7B028" w14:textId="77777777" w:rsidR="00606F08" w:rsidRPr="00606F08" w:rsidRDefault="00606F08" w:rsidP="00606F08">
      <w:pPr>
        <w:numPr>
          <w:ilvl w:val="0"/>
          <w:numId w:val="5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606F08">
        <w:rPr>
          <w:rFonts w:ascii="inherit" w:eastAsia="Times New Roman" w:hAnsi="inherit" w:cs="Helvetica"/>
          <w:b/>
          <w:bCs/>
          <w:color w:val="313131"/>
          <w:sz w:val="24"/>
          <w:szCs w:val="24"/>
          <w:lang w:eastAsia="es-MX"/>
        </w:rPr>
        <w:t>Población en pobreza multidimensional extrema</w:t>
      </w:r>
      <w:r w:rsidRPr="00606F08">
        <w:rPr>
          <w:rFonts w:ascii="inherit" w:eastAsia="Times New Roman" w:hAnsi="inherit" w:cs="Helvetica"/>
          <w:color w:val="313131"/>
          <w:sz w:val="24"/>
          <w:szCs w:val="24"/>
          <w:lang w:eastAsia="es-MX"/>
        </w:rPr>
        <w:t>: población con ingreso inferior al valor de la Línea de Pobreza Extrema por ingresos y que presenta, al menos, tres carencias sociales.</w:t>
      </w:r>
    </w:p>
    <w:p w14:paraId="2FEDD868" w14:textId="77777777" w:rsidR="00606F08" w:rsidRPr="00606F08" w:rsidRDefault="00606F08" w:rsidP="00606F08">
      <w:pPr>
        <w:numPr>
          <w:ilvl w:val="0"/>
          <w:numId w:val="5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606F08">
        <w:rPr>
          <w:rFonts w:ascii="Helvetica" w:eastAsia="Times New Roman" w:hAnsi="Helvetica" w:cs="Helvetica"/>
          <w:b/>
          <w:bCs/>
          <w:color w:val="313131"/>
          <w:sz w:val="24"/>
          <w:szCs w:val="24"/>
          <w:lang w:eastAsia="es-MX"/>
        </w:rPr>
        <w:t>Población en pobreza multidimensional moderada</w:t>
      </w:r>
      <w:r w:rsidRPr="00606F08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: población pobre multidimensional no incluida en la población pobre multidimensional extrema.</w:t>
      </w:r>
    </w:p>
    <w:p w14:paraId="5293DA82" w14:textId="77777777" w:rsidR="00606F08" w:rsidRPr="00606F08" w:rsidRDefault="00606F08" w:rsidP="00606F08">
      <w:pPr>
        <w:numPr>
          <w:ilvl w:val="0"/>
          <w:numId w:val="5"/>
        </w:numPr>
        <w:shd w:val="clear" w:color="auto" w:fill="FFFFFF"/>
        <w:spacing w:before="100" w:beforeAutospacing="1" w:after="170" w:line="336" w:lineRule="atLeast"/>
        <w:ind w:left="0"/>
        <w:jc w:val="both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606F08">
        <w:rPr>
          <w:rFonts w:ascii="Helvetica" w:eastAsia="Times New Roman" w:hAnsi="Helvetica" w:cs="Helvetica"/>
          <w:b/>
          <w:bCs/>
          <w:color w:val="313131"/>
          <w:sz w:val="24"/>
          <w:szCs w:val="24"/>
          <w:lang w:eastAsia="es-MX"/>
        </w:rPr>
        <w:t>Vulnerables por carencias sociales</w:t>
      </w:r>
      <w:r w:rsidRPr="00606F08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: población que presenta una o más carencias sociales, pero cuyo ingreso es superior a la Línea de Pobreza por Ingresos.</w:t>
      </w:r>
    </w:p>
    <w:p w14:paraId="0D328712" w14:textId="77777777" w:rsidR="00606F08" w:rsidRPr="00606F08" w:rsidRDefault="00606F08" w:rsidP="00606F08">
      <w:pPr>
        <w:numPr>
          <w:ilvl w:val="0"/>
          <w:numId w:val="5"/>
        </w:numPr>
        <w:shd w:val="clear" w:color="auto" w:fill="FFFFFF"/>
        <w:spacing w:before="100" w:beforeAutospacing="1" w:after="170" w:line="336" w:lineRule="atLeast"/>
        <w:ind w:left="0"/>
        <w:jc w:val="both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606F08">
        <w:rPr>
          <w:rFonts w:ascii="Helvetica" w:eastAsia="Times New Roman" w:hAnsi="Helvetica" w:cs="Helvetica"/>
          <w:b/>
          <w:bCs/>
          <w:color w:val="313131"/>
          <w:sz w:val="24"/>
          <w:szCs w:val="24"/>
          <w:lang w:eastAsia="es-MX"/>
        </w:rPr>
        <w:t>Vulnerables por ingresos</w:t>
      </w:r>
      <w:r w:rsidRPr="00606F08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: población que no reporta carencias sociales y cuyo ingreso es inferior o igual a la Línea de Pobreza por Ingresos.</w:t>
      </w:r>
    </w:p>
    <w:p w14:paraId="667468D8" w14:textId="77777777" w:rsidR="00606F08" w:rsidRPr="00606F08" w:rsidRDefault="00606F08" w:rsidP="00606F08">
      <w:pPr>
        <w:numPr>
          <w:ilvl w:val="0"/>
          <w:numId w:val="5"/>
        </w:numPr>
        <w:shd w:val="clear" w:color="auto" w:fill="FFFFFF"/>
        <w:spacing w:before="100" w:beforeAutospacing="1" w:after="170" w:line="336" w:lineRule="atLeast"/>
        <w:ind w:left="0"/>
        <w:jc w:val="both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606F08">
        <w:rPr>
          <w:rFonts w:ascii="Helvetica" w:eastAsia="Times New Roman" w:hAnsi="Helvetica" w:cs="Helvetica"/>
          <w:b/>
          <w:bCs/>
          <w:color w:val="313131"/>
          <w:sz w:val="24"/>
          <w:szCs w:val="24"/>
          <w:lang w:eastAsia="es-MX"/>
        </w:rPr>
        <w:t>No pobre multidimensional y no vulnerable</w:t>
      </w:r>
      <w:r w:rsidRPr="00606F08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: población cuyo ingreso es superior a la Línea de Pobreza por Ingresos y no tiene carencia social alguna.</w:t>
      </w:r>
    </w:p>
    <w:p w14:paraId="6C410DF7" w14:textId="0EBF6493" w:rsidR="00606F08" w:rsidRDefault="00606F08" w:rsidP="000725B0">
      <w:pPr>
        <w:rPr>
          <w:rFonts w:ascii="Helvetica" w:hAnsi="Helvetica" w:cs="Helvetica"/>
          <w:color w:val="313131"/>
          <w:shd w:val="clear" w:color="auto" w:fill="FFFFFF"/>
        </w:rPr>
      </w:pPr>
    </w:p>
    <w:p w14:paraId="40FCBC09" w14:textId="77777777" w:rsidR="004E1209" w:rsidRPr="004E1209" w:rsidRDefault="004E1209" w:rsidP="004E1209">
      <w:pPr>
        <w:shd w:val="clear" w:color="auto" w:fill="FFFFFF"/>
        <w:spacing w:before="300" w:after="340" w:line="240" w:lineRule="auto"/>
        <w:jc w:val="both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4E1209">
        <w:rPr>
          <w:rFonts w:ascii="inherit" w:eastAsia="Times New Roman" w:hAnsi="inherit" w:cs="Helvetica"/>
          <w:b/>
          <w:bCs/>
          <w:color w:val="339966"/>
          <w:sz w:val="24"/>
          <w:szCs w:val="24"/>
          <w:lang w:eastAsia="es-MX"/>
        </w:rPr>
        <w:t>Conclusión</w:t>
      </w:r>
    </w:p>
    <w:p w14:paraId="3AC68075" w14:textId="77777777" w:rsidR="004E1209" w:rsidRPr="004E1209" w:rsidRDefault="004E1209" w:rsidP="004E1209">
      <w:pPr>
        <w:shd w:val="clear" w:color="auto" w:fill="FFFFFF"/>
        <w:spacing w:before="300" w:after="340" w:line="240" w:lineRule="auto"/>
        <w:jc w:val="both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4E1209"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  <w:t>En este módulo, estudiaste</w:t>
      </w:r>
      <w:r w:rsidRPr="004E1209">
        <w:rPr>
          <w:rFonts w:ascii="inherit" w:eastAsia="Times New Roman" w:hAnsi="inherit" w:cs="Helvetica"/>
          <w:color w:val="313131"/>
          <w:sz w:val="24"/>
          <w:szCs w:val="24"/>
          <w:lang w:eastAsia="es-MX"/>
        </w:rPr>
        <w:t> los fundamentos normativos, las dimensiones de la pobreza e identificaste la población en situación de pobreza. </w:t>
      </w:r>
    </w:p>
    <w:p w14:paraId="6C3AE483" w14:textId="77777777" w:rsidR="004E1209" w:rsidRPr="004E1209" w:rsidRDefault="004E1209" w:rsidP="004E1209">
      <w:pPr>
        <w:shd w:val="clear" w:color="auto" w:fill="FFFFFF"/>
        <w:spacing w:before="300" w:after="340" w:line="240" w:lineRule="auto"/>
        <w:jc w:val="both"/>
        <w:rPr>
          <w:rFonts w:ascii="Helvetica" w:eastAsia="Times New Roman" w:hAnsi="Helvetica" w:cs="Helvetica"/>
          <w:color w:val="313131"/>
          <w:sz w:val="24"/>
          <w:szCs w:val="24"/>
          <w:lang w:eastAsia="es-MX"/>
        </w:rPr>
      </w:pPr>
      <w:r w:rsidRPr="004E1209">
        <w:rPr>
          <w:rFonts w:ascii="inherit" w:eastAsia="Times New Roman" w:hAnsi="inherit" w:cs="Helvetica"/>
          <w:color w:val="313131"/>
          <w:sz w:val="24"/>
          <w:szCs w:val="24"/>
          <w:lang w:eastAsia="es-MX"/>
        </w:rPr>
        <w:lastRenderedPageBreak/>
        <w:t>En la siguiente infografía veras el proceso que tiene el CONEVAL para generar información referente a pobreza, en los siguientes módulos conoceremos a detalle este proceso.</w:t>
      </w:r>
    </w:p>
    <w:p w14:paraId="5F821FE3" w14:textId="7F3B01C9" w:rsidR="004E1209" w:rsidRPr="00FF60C6" w:rsidRDefault="004E1209" w:rsidP="004E1209">
      <w:pPr>
        <w:ind w:left="-1418" w:right="-1368"/>
        <w:rPr>
          <w:rFonts w:ascii="Helvetica" w:hAnsi="Helvetica" w:cs="Helvetica"/>
          <w:color w:val="313131"/>
          <w:shd w:val="clear" w:color="auto" w:fill="FFFFFF"/>
        </w:rPr>
      </w:pPr>
      <w:r>
        <w:rPr>
          <w:noProof/>
        </w:rPr>
        <w:drawing>
          <wp:inline distT="0" distB="0" distL="0" distR="0" wp14:anchorId="0CA30F97" wp14:editId="66AFF6F5">
            <wp:extent cx="7237497" cy="5426075"/>
            <wp:effectExtent l="0" t="0" r="1905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0729" cy="543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1209" w:rsidRPr="00FF60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9D32CC"/>
    <w:multiLevelType w:val="multilevel"/>
    <w:tmpl w:val="002CF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DB1592"/>
    <w:multiLevelType w:val="multilevel"/>
    <w:tmpl w:val="5D46A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6A45F8"/>
    <w:multiLevelType w:val="hybridMultilevel"/>
    <w:tmpl w:val="1444CF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111582"/>
    <w:multiLevelType w:val="multilevel"/>
    <w:tmpl w:val="81228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2C256D"/>
    <w:multiLevelType w:val="multilevel"/>
    <w:tmpl w:val="F0D49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31F"/>
    <w:rsid w:val="00034AC4"/>
    <w:rsid w:val="000725B0"/>
    <w:rsid w:val="004E1209"/>
    <w:rsid w:val="00606F08"/>
    <w:rsid w:val="0084257D"/>
    <w:rsid w:val="00CD031F"/>
    <w:rsid w:val="00FF6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D860C"/>
  <w15:chartTrackingRefBased/>
  <w15:docId w15:val="{8C88FD15-A4D1-4FB8-8C47-61E3FDA24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D03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CD031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CD031F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D03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ennegrita">
    <w:name w:val="Strong"/>
    <w:basedOn w:val="Fuentedeprrafopredeter"/>
    <w:uiPriority w:val="22"/>
    <w:qFormat/>
    <w:rsid w:val="00CD031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D0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FF60C6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FF60C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04169">
          <w:blockQuote w:val="1"/>
          <w:marLeft w:val="600"/>
          <w:marRight w:val="60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93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1122</Words>
  <Characters>6177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Chávez</dc:creator>
  <cp:keywords/>
  <dc:description/>
  <cp:lastModifiedBy>Adriana Chávez</cp:lastModifiedBy>
  <cp:revision>3</cp:revision>
  <dcterms:created xsi:type="dcterms:W3CDTF">2020-05-14T22:46:00Z</dcterms:created>
  <dcterms:modified xsi:type="dcterms:W3CDTF">2020-05-15T00:09:00Z</dcterms:modified>
</cp:coreProperties>
</file>