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D841A" w14:textId="0C7123F3" w:rsidR="00D03031" w:rsidRPr="005920BC" w:rsidRDefault="00634678" w:rsidP="006939DE">
      <w:pPr>
        <w:tabs>
          <w:tab w:val="left" w:pos="2552"/>
        </w:tabs>
        <w:spacing w:line="276" w:lineRule="auto"/>
        <w:jc w:val="center"/>
        <w:rPr>
          <w:rFonts w:ascii="Arial" w:hAnsi="Arial" w:cs="Arial"/>
          <w:sz w:val="32"/>
          <w:lang w:val="es-MX"/>
        </w:rPr>
      </w:pPr>
      <w:r w:rsidRPr="005920BC">
        <w:rPr>
          <w:rFonts w:ascii="Arial" w:hAnsi="Arial" w:cs="Arial"/>
          <w:sz w:val="32"/>
          <w:lang w:val="es-MX"/>
        </w:rPr>
        <w:t>Centro Educativo Jean Piaget</w:t>
      </w:r>
    </w:p>
    <w:p w14:paraId="2241A20E" w14:textId="1E317EF3" w:rsidR="00D03031" w:rsidRPr="005920BC" w:rsidRDefault="00D03031" w:rsidP="00C81AB9">
      <w:pPr>
        <w:spacing w:line="276" w:lineRule="auto"/>
        <w:jc w:val="center"/>
        <w:rPr>
          <w:rFonts w:ascii="Arial" w:hAnsi="Arial" w:cs="Arial"/>
          <w:sz w:val="32"/>
          <w:lang w:val="es-MX"/>
        </w:rPr>
      </w:pPr>
    </w:p>
    <w:p w14:paraId="4AF2A6F0" w14:textId="352A0D3D"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3B58C0ED" w14:textId="77777777" w:rsidR="00D03031" w:rsidRDefault="00D03031" w:rsidP="00C81AB9">
      <w:pPr>
        <w:spacing w:line="276" w:lineRule="auto"/>
        <w:jc w:val="center"/>
        <w:rPr>
          <w:rFonts w:ascii="Arial" w:hAnsi="Arial" w:cs="Arial"/>
          <w:sz w:val="32"/>
          <w:lang w:val="es-MX"/>
        </w:rPr>
      </w:pPr>
    </w:p>
    <w:p w14:paraId="6BDFE9AC" w14:textId="77777777" w:rsidR="00E57B95" w:rsidRPr="005920BC" w:rsidRDefault="00E57B95"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bookmarkStart w:id="0" w:name="_GoBack"/>
      <w:bookmarkEnd w:id="0"/>
    </w:p>
    <w:p w14:paraId="06BA807A" w14:textId="77777777" w:rsidR="00D03031" w:rsidRPr="005920BC" w:rsidRDefault="00D03031" w:rsidP="00C81AB9">
      <w:pPr>
        <w:spacing w:line="276" w:lineRule="auto"/>
        <w:jc w:val="center"/>
        <w:rPr>
          <w:rFonts w:ascii="Arial" w:hAnsi="Arial" w:cs="Arial"/>
          <w:sz w:val="32"/>
          <w:lang w:val="es-MX"/>
        </w:rPr>
      </w:pPr>
    </w:p>
    <w:p w14:paraId="3BDF80AB" w14:textId="22F25790" w:rsidR="00D03031" w:rsidRPr="005920BC" w:rsidRDefault="00840CDF" w:rsidP="00C81AB9">
      <w:pPr>
        <w:spacing w:line="276" w:lineRule="auto"/>
        <w:jc w:val="center"/>
        <w:rPr>
          <w:rFonts w:ascii="Arial" w:hAnsi="Arial" w:cs="Arial"/>
          <w:sz w:val="32"/>
          <w:lang w:val="es-MX"/>
        </w:rPr>
      </w:pPr>
      <w:r>
        <w:rPr>
          <w:rFonts w:ascii="Arial" w:hAnsi="Arial" w:cs="Arial"/>
          <w:sz w:val="32"/>
          <w:lang w:val="es-MX"/>
        </w:rPr>
        <w:t>Ma</w:t>
      </w:r>
      <w:r w:rsidR="00025B5E">
        <w:rPr>
          <w:rFonts w:ascii="Arial" w:hAnsi="Arial" w:cs="Arial"/>
          <w:sz w:val="32"/>
          <w:lang w:val="es-MX"/>
        </w:rPr>
        <w:t>y</w:t>
      </w:r>
      <w:r>
        <w:rPr>
          <w:rFonts w:ascii="Arial" w:hAnsi="Arial" w:cs="Arial"/>
          <w:sz w:val="32"/>
          <w:lang w:val="es-MX"/>
        </w:rPr>
        <w:t>o</w:t>
      </w:r>
      <w:r w:rsidR="00634678" w:rsidRPr="005920BC">
        <w:rPr>
          <w:rFonts w:ascii="Arial" w:hAnsi="Arial" w:cs="Arial"/>
          <w:sz w:val="32"/>
          <w:lang w:val="es-MX"/>
        </w:rPr>
        <w:t xml:space="preserve"> 201</w:t>
      </w:r>
      <w:r w:rsidR="00025B5E">
        <w:rPr>
          <w:rFonts w:ascii="Arial" w:hAnsi="Arial" w:cs="Arial"/>
          <w:sz w:val="32"/>
          <w:lang w:val="es-MX"/>
        </w:rPr>
        <w:t>9</w:t>
      </w:r>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r w:rsidRPr="00D03031">
        <w:rPr>
          <w:rFonts w:ascii="Arial" w:hAnsi="Arial" w:cs="Arial"/>
          <w:b/>
          <w:sz w:val="24"/>
        </w:rPr>
        <w:lastRenderedPageBreak/>
        <w:t>Resumen:</w:t>
      </w:r>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55367BB7" w:rsidR="00F0615A" w:rsidRPr="005920BC" w:rsidRDefault="00F03A7B" w:rsidP="00C81AB9">
      <w:pPr>
        <w:spacing w:line="480" w:lineRule="auto"/>
        <w:rPr>
          <w:rFonts w:ascii="Arial" w:hAnsi="Arial" w:cs="Arial"/>
          <w:sz w:val="24"/>
        </w:rPr>
      </w:pPr>
      <w:r w:rsidRPr="005920BC">
        <w:rPr>
          <w:rFonts w:ascii="Arial" w:hAnsi="Arial" w:cs="Arial"/>
          <w:sz w:val="24"/>
        </w:rPr>
        <w:t xml:space="preserve">¿Cuáles son 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58F6397C" w:rsidR="00D82551" w:rsidRPr="005920BC" w:rsidRDefault="00BF1646" w:rsidP="00C81AB9">
      <w:pPr>
        <w:spacing w:line="480" w:lineRule="auto"/>
        <w:rPr>
          <w:rFonts w:ascii="Arial" w:hAnsi="Arial" w:cs="Arial"/>
          <w:sz w:val="24"/>
        </w:rPr>
      </w:pPr>
      <w:r w:rsidRPr="0053733A">
        <w:rPr>
          <w:rFonts w:ascii="Arial" w:hAnsi="Arial" w:cs="Arial"/>
          <w:strike/>
          <w:sz w:val="24"/>
        </w:rPr>
        <w:t>Establecer</w:t>
      </w:r>
      <w:r w:rsidRPr="005920BC">
        <w:rPr>
          <w:rFonts w:ascii="Arial" w:hAnsi="Arial" w:cs="Arial"/>
          <w:sz w:val="24"/>
        </w:rPr>
        <w:t xml:space="preserve"> </w:t>
      </w:r>
      <w:r w:rsidR="0053733A">
        <w:rPr>
          <w:rFonts w:ascii="Arial" w:hAnsi="Arial" w:cs="Arial"/>
          <w:color w:val="FF0000"/>
          <w:sz w:val="24"/>
        </w:rPr>
        <w:t xml:space="preserve">Identificar </w:t>
      </w:r>
      <w:r w:rsidRPr="005920BC">
        <w:rPr>
          <w:rFonts w:ascii="Arial" w:hAnsi="Arial" w:cs="Arial"/>
          <w:sz w:val="24"/>
        </w:rPr>
        <w:t xml:space="preserve">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1C59BBA3"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consecuencias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lastRenderedPageBreak/>
        <w:t>Justificació</w:t>
      </w:r>
      <w:r w:rsidR="0029293C">
        <w:rPr>
          <w:rFonts w:ascii="Arial" w:hAnsi="Arial" w:cs="Arial"/>
          <w:b/>
          <w:sz w:val="24"/>
        </w:rPr>
        <w:t>n</w:t>
      </w:r>
    </w:p>
    <w:p w14:paraId="68C5750D" w14:textId="63B28783" w:rsidR="00A75DEB" w:rsidRPr="005920BC" w:rsidRDefault="007706F1" w:rsidP="00C81AB9">
      <w:pPr>
        <w:spacing w:line="480" w:lineRule="auto"/>
        <w:rPr>
          <w:rFonts w:ascii="Arial" w:hAnsi="Arial" w:cs="Arial"/>
          <w:sz w:val="24"/>
        </w:rPr>
      </w:pPr>
      <w:r w:rsidRPr="005920BC">
        <w:rPr>
          <w:rFonts w:ascii="Arial" w:hAnsi="Arial" w:cs="Arial"/>
          <w:sz w:val="24"/>
        </w:rPr>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y las consecuencias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790837BD" w14:textId="77777777" w:rsidR="0053733A" w:rsidRDefault="0053733A" w:rsidP="00C81AB9">
      <w:pPr>
        <w:spacing w:line="480" w:lineRule="auto"/>
        <w:rPr>
          <w:rFonts w:ascii="Arial" w:hAnsi="Arial" w:cs="Arial"/>
          <w:sz w:val="24"/>
        </w:rPr>
      </w:pPr>
    </w:p>
    <w:p w14:paraId="4B4F4ADD" w14:textId="77777777" w:rsidR="0053733A" w:rsidRDefault="0053733A" w:rsidP="00C81AB9">
      <w:pPr>
        <w:spacing w:line="480" w:lineRule="auto"/>
        <w:rPr>
          <w:rFonts w:ascii="Arial" w:hAnsi="Arial" w:cs="Arial"/>
          <w:sz w:val="24"/>
        </w:rPr>
      </w:pPr>
    </w:p>
    <w:p w14:paraId="3BF7EE35" w14:textId="77777777" w:rsidR="0053733A" w:rsidRDefault="0053733A" w:rsidP="00C81AB9">
      <w:pPr>
        <w:spacing w:line="480" w:lineRule="auto"/>
        <w:rPr>
          <w:rFonts w:ascii="Arial" w:hAnsi="Arial" w:cs="Arial"/>
          <w:sz w:val="24"/>
        </w:rPr>
      </w:pPr>
    </w:p>
    <w:p w14:paraId="317A2CA4" w14:textId="77777777" w:rsidR="0053733A" w:rsidRDefault="0053733A" w:rsidP="00C81AB9">
      <w:pPr>
        <w:spacing w:line="480" w:lineRule="auto"/>
        <w:rPr>
          <w:rFonts w:ascii="Arial" w:hAnsi="Arial" w:cs="Arial"/>
          <w:sz w:val="24"/>
        </w:rPr>
      </w:pPr>
    </w:p>
    <w:p w14:paraId="370F4AB3" w14:textId="77777777" w:rsidR="0053733A" w:rsidRDefault="0053733A" w:rsidP="00C81AB9">
      <w:pPr>
        <w:spacing w:line="480" w:lineRule="auto"/>
        <w:rPr>
          <w:rFonts w:ascii="Arial" w:hAnsi="Arial" w:cs="Arial"/>
          <w:sz w:val="24"/>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lastRenderedPageBreak/>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149A7EC5" w:rsidR="00D6140E" w:rsidRDefault="007178ED" w:rsidP="00C81AB9">
      <w:pPr>
        <w:spacing w:line="480" w:lineRule="auto"/>
        <w:rPr>
          <w:rFonts w:ascii="Arial" w:hAnsi="Arial" w:cs="Arial"/>
          <w:sz w:val="24"/>
        </w:rPr>
      </w:pPr>
      <w:r>
        <w:rPr>
          <w:rFonts w:ascii="Arial" w:hAnsi="Arial" w:cs="Arial"/>
          <w:sz w:val="24"/>
        </w:rPr>
        <w:t xml:space="preserve">De acuerdo </w:t>
      </w:r>
      <w:r w:rsidR="000C7226">
        <w:rPr>
          <w:rFonts w:ascii="Arial" w:hAnsi="Arial" w:cs="Arial"/>
          <w:sz w:val="24"/>
        </w:rPr>
        <w:t xml:space="preserve">con el </w:t>
      </w:r>
      <w:r w:rsidR="00B5365D">
        <w:rPr>
          <w:rFonts w:ascii="Arial" w:hAnsi="Arial" w:cs="Arial"/>
          <w:sz w:val="24"/>
        </w:rPr>
        <w:t>National Institute of Mental Health</w:t>
      </w:r>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r w:rsidR="0053733A">
        <w:rPr>
          <w:rFonts w:ascii="Arial" w:hAnsi="Arial" w:cs="Arial"/>
          <w:color w:val="FF0000"/>
          <w:sz w:val="24"/>
        </w:rPr>
        <w:t>Por ejemplo, l</w:t>
      </w:r>
      <w:r w:rsidR="00B5365D">
        <w:rPr>
          <w:rFonts w:ascii="Arial" w:hAnsi="Arial" w:cs="Arial"/>
          <w:sz w:val="24"/>
        </w:rPr>
        <w:t>a anorexia nerviosa, la bulimia</w:t>
      </w:r>
      <w:r w:rsidR="003369B7">
        <w:rPr>
          <w:rFonts w:ascii="Arial" w:hAnsi="Arial" w:cs="Arial"/>
          <w:sz w:val="24"/>
        </w:rPr>
        <w:t xml:space="preserve"> nerviosa, el trastorno por atracón</w:t>
      </w:r>
      <w:r w:rsidR="00B5365D">
        <w:rPr>
          <w:rFonts w:ascii="Arial" w:hAnsi="Arial" w:cs="Arial"/>
          <w:sz w:val="24"/>
        </w:rPr>
        <w:t xml:space="preserve"> y </w:t>
      </w:r>
      <w:r w:rsidR="003369B7">
        <w:rPr>
          <w:rFonts w:ascii="Arial" w:hAnsi="Arial" w:cs="Arial"/>
          <w:sz w:val="24"/>
        </w:rPr>
        <w:t xml:space="preserve">variantes de estos trastornos. </w:t>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(National Eating Disordesrs Assosiation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autoperpetuarse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lastRenderedPageBreak/>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de hecho, de acuerdo a Dennis Coon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(Coon,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lastRenderedPageBreak/>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4490F561" w:rsidR="00651CF2" w:rsidRDefault="00651CF2" w:rsidP="00C81AB9">
      <w:pPr>
        <w:spacing w:line="480" w:lineRule="auto"/>
        <w:rPr>
          <w:rFonts w:ascii="Arial" w:hAnsi="Arial" w:cs="Arial"/>
          <w:sz w:val="24"/>
        </w:rPr>
      </w:pPr>
      <w:r>
        <w:rPr>
          <w:rFonts w:ascii="Arial" w:hAnsi="Arial" w:cs="Arial"/>
          <w:sz w:val="24"/>
        </w:rPr>
        <w:t xml:space="preserve">Si a eso le sumamos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Pr>
          <w:rFonts w:ascii="Arial" w:hAnsi="Arial" w:cs="Arial"/>
          <w:sz w:val="24"/>
        </w:rPr>
        <w:t xml:space="preserve"> mayor en la adolescencia (</w:t>
      </w:r>
      <w:r w:rsidRPr="00651CF2">
        <w:rPr>
          <w:rFonts w:ascii="Arial" w:hAnsi="Arial" w:cs="Arial"/>
          <w:sz w:val="24"/>
        </w:rPr>
        <w:t>Portela de Santana, da Costa Ribeiro Junior., Mora Giral &amp; Raich</w:t>
      </w:r>
      <w:r>
        <w:rPr>
          <w:rFonts w:ascii="Arial" w:hAnsi="Arial" w:cs="Arial"/>
          <w:sz w:val="24"/>
        </w:rPr>
        <w:t xml:space="preserve">, </w:t>
      </w:r>
      <w:r w:rsidRPr="00651CF2">
        <w:rPr>
          <w:rFonts w:ascii="Arial" w:hAnsi="Arial" w:cs="Arial"/>
          <w:sz w:val="24"/>
        </w:rPr>
        <w:t>2012</w:t>
      </w:r>
      <w:r>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(Portela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De acuerdo al Hospital San Juan Capestrano</w:t>
      </w:r>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9A836E4" w14:textId="77777777" w:rsidR="0053733A" w:rsidRDefault="0053733A" w:rsidP="00C81AB9">
      <w:pPr>
        <w:spacing w:line="480" w:lineRule="auto"/>
        <w:rPr>
          <w:rFonts w:ascii="Arial" w:hAnsi="Arial" w:cs="Arial"/>
          <w:sz w:val="24"/>
        </w:rPr>
      </w:pPr>
    </w:p>
    <w:p w14:paraId="554EA943" w14:textId="77777777" w:rsidR="0053733A" w:rsidRDefault="0053733A" w:rsidP="00C81AB9">
      <w:pPr>
        <w:spacing w:line="480" w:lineRule="auto"/>
        <w:rPr>
          <w:rFonts w:ascii="Arial" w:hAnsi="Arial" w:cs="Arial"/>
          <w:sz w:val="24"/>
        </w:rPr>
      </w:pP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lastRenderedPageBreak/>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t>De acuerdo a Mayo Clinic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entre las que se encuentran distintas escalas.</w:t>
      </w:r>
    </w:p>
    <w:p w14:paraId="7FE0D2F9" w14:textId="5A22D697" w:rsidR="007818D5" w:rsidRDefault="007818D5" w:rsidP="001B05B0">
      <w:pPr>
        <w:spacing w:line="360" w:lineRule="auto"/>
        <w:rPr>
          <w:rFonts w:ascii="Arial" w:hAnsi="Arial" w:cs="Arial"/>
          <w:sz w:val="24"/>
        </w:rPr>
      </w:pPr>
      <w:r w:rsidRPr="007818D5">
        <w:rPr>
          <w:rFonts w:ascii="Arial" w:hAnsi="Arial" w:cs="Arial"/>
          <w:sz w:val="24"/>
        </w:rPr>
        <w:t>Una de estas escalas e</w:t>
      </w:r>
      <w:r>
        <w:rPr>
          <w:rFonts w:ascii="Arial" w:hAnsi="Arial" w:cs="Arial"/>
          <w:sz w:val="24"/>
        </w:rPr>
        <w:t>s el Eating Attitudes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xml:space="preserve">. Su objetivo es identificar síntomas relacionados a los trastornos de </w:t>
      </w:r>
      <w:r w:rsidR="000C7226">
        <w:rPr>
          <w:rFonts w:ascii="Arial" w:hAnsi="Arial" w:cs="Arial"/>
          <w:sz w:val="24"/>
        </w:rPr>
        <w:t xml:space="preserve">la </w:t>
      </w:r>
      <w:r w:rsidR="004B2DB7">
        <w:rPr>
          <w:rFonts w:ascii="Arial" w:hAnsi="Arial" w:cs="Arial"/>
          <w:sz w:val="24"/>
        </w:rPr>
        <w:t xml:space="preserve">conducta alimenticia, </w:t>
      </w:r>
      <w:r w:rsidRPr="007818D5">
        <w:rPr>
          <w:rFonts w:ascii="Arial" w:hAnsi="Arial" w:cs="Arial"/>
          <w:sz w:val="24"/>
        </w:rPr>
        <w:t>la tendencia para adelgazar</w:t>
      </w:r>
      <w:r w:rsidR="004B2DB7">
        <w:rPr>
          <w:rFonts w:ascii="Arial" w:hAnsi="Arial" w:cs="Arial"/>
          <w:sz w:val="24"/>
        </w:rPr>
        <w:t xml:space="preserve"> </w:t>
      </w:r>
      <w:r w:rsidRPr="007818D5">
        <w:rPr>
          <w:rFonts w:ascii="Arial" w:hAnsi="Arial" w:cs="Arial"/>
          <w:sz w:val="24"/>
        </w:rPr>
        <w:t>y la presencia de</w:t>
      </w:r>
      <w:r w:rsidR="004B2DB7">
        <w:rPr>
          <w:rFonts w:ascii="Arial" w:hAnsi="Arial" w:cs="Arial"/>
          <w:sz w:val="24"/>
        </w:rPr>
        <w:t xml:space="preserve"> </w:t>
      </w:r>
      <w:r w:rsidRPr="007818D5">
        <w:rPr>
          <w:rFonts w:ascii="Arial" w:hAnsi="Arial" w:cs="Arial"/>
          <w:sz w:val="24"/>
        </w:rPr>
        <w:t>patrones</w:t>
      </w:r>
      <w:r w:rsidR="004B2DB7">
        <w:rPr>
          <w:rFonts w:ascii="Arial" w:hAnsi="Arial" w:cs="Arial"/>
          <w:sz w:val="24"/>
        </w:rPr>
        <w:t xml:space="preserve"> a</w:t>
      </w:r>
      <w:r w:rsidRPr="007818D5">
        <w:rPr>
          <w:rFonts w:ascii="Arial" w:hAnsi="Arial" w:cs="Arial"/>
          <w:sz w:val="24"/>
        </w:rPr>
        <w:t>limentarios restrictivos</w:t>
      </w:r>
      <w:r w:rsidR="004B2DB7">
        <w:rPr>
          <w:rFonts w:ascii="Arial" w:hAnsi="Arial" w:cs="Arial"/>
          <w:sz w:val="24"/>
        </w:rPr>
        <w:t xml:space="preserve"> (</w:t>
      </w:r>
      <w:r w:rsidR="00301E6C" w:rsidRPr="001B05B0">
        <w:rPr>
          <w:rFonts w:ascii="Arial" w:hAnsi="Arial" w:cs="Arial"/>
          <w:sz w:val="24"/>
        </w:rPr>
        <w:t>Monterrosa, A., Boneu, J., Muñoz, J., Almanza, P. 2012)</w:t>
      </w:r>
      <w:r w:rsidRPr="007818D5">
        <w:rPr>
          <w:rFonts w:ascii="Arial" w:hAnsi="Arial" w:cs="Arial"/>
          <w:sz w:val="24"/>
        </w:rPr>
        <w:t xml:space="preserve">. </w:t>
      </w:r>
    </w:p>
    <w:p w14:paraId="73FB5E6D" w14:textId="1C87E2EE" w:rsidR="001B05B0" w:rsidRDefault="001B05B0" w:rsidP="001B05B0">
      <w:pPr>
        <w:spacing w:line="36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3360D153" w:rsidR="001B05B0" w:rsidRPr="007818D5" w:rsidRDefault="006471B7" w:rsidP="001B05B0">
      <w:pPr>
        <w:spacing w:line="36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factor de riesgo para un desorden alimenticio.</w:t>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Coon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lastRenderedPageBreak/>
        <w:t>Las principales metas del tratamiento son volver a una nutrición adecuada y un peso saludable, detener los atracones, purgas y reducir el exceso de ejercicio. Para lograr esas metas existen formas de psicoterapia, que incluyen la terapia familiar Maudsley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w:t>
      </w:r>
      <w:r>
        <w:rPr>
          <w:rFonts w:ascii="Arial" w:hAnsi="Arial" w:cs="Arial"/>
          <w:sz w:val="24"/>
        </w:rPr>
        <w:lastRenderedPageBreak/>
        <w:t xml:space="preserve">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de acuerdo a Corada y Montedónico</w:t>
      </w:r>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r w:rsidRPr="00FC0C14">
        <w:rPr>
          <w:rFonts w:ascii="Arial" w:hAnsi="Arial" w:cs="Arial"/>
          <w:sz w:val="24"/>
        </w:rPr>
        <w:t>Tucunduva</w:t>
      </w:r>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 xml:space="preserve">n de la forma más honesta </w:t>
      </w:r>
      <w:r w:rsidRPr="001212F6">
        <w:rPr>
          <w:rFonts w:ascii="Arial" w:hAnsi="Arial" w:cs="Arial"/>
          <w:sz w:val="24"/>
        </w:rPr>
        <w:lastRenderedPageBreak/>
        <w:t>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9BC269" w14:textId="574662CD" w:rsidR="00671B8D" w:rsidRPr="00FA17B6" w:rsidRDefault="00671B8D" w:rsidP="00D13226">
      <w:pPr>
        <w:pStyle w:val="Descripcin"/>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Tablanormal11"/>
        <w:tblW w:w="10664" w:type="dxa"/>
        <w:tblInd w:w="-658" w:type="dxa"/>
        <w:tblLook w:val="04A0" w:firstRow="1" w:lastRow="0" w:firstColumn="1" w:lastColumn="0" w:noHBand="0" w:noVBand="1"/>
      </w:tblPr>
      <w:tblGrid>
        <w:gridCol w:w="1529"/>
        <w:gridCol w:w="1015"/>
        <w:gridCol w:w="1015"/>
        <w:gridCol w:w="1015"/>
        <w:gridCol w:w="1015"/>
        <w:gridCol w:w="1015"/>
        <w:gridCol w:w="1015"/>
        <w:gridCol w:w="1015"/>
        <w:gridCol w:w="1015"/>
        <w:gridCol w:w="1015"/>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lastRenderedPageBreak/>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54"/>
        <w:gridCol w:w="878"/>
        <w:gridCol w:w="698"/>
        <w:gridCol w:w="713"/>
        <w:gridCol w:w="713"/>
        <w:gridCol w:w="713"/>
        <w:gridCol w:w="713"/>
        <w:gridCol w:w="713"/>
        <w:gridCol w:w="713"/>
        <w:gridCol w:w="713"/>
        <w:gridCol w:w="713"/>
        <w:gridCol w:w="696"/>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lastRenderedPageBreak/>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t>Por otro lado</w:t>
      </w:r>
      <w:r w:rsidR="00D13226">
        <w:rPr>
          <w:rFonts w:ascii="Arial" w:hAnsi="Arial" w:cs="Arial"/>
          <w:sz w:val="24"/>
        </w:rPr>
        <w:t xml:space="preserve">, quienes más presentan factores de riesgo son las mujeres, pues de 7 participantes 5 los presentan, en contraste con los hombres, en los que 6 de 15 los </w:t>
      </w:r>
      <w:r w:rsidR="00D13226">
        <w:rPr>
          <w:rFonts w:ascii="Arial" w:hAnsi="Arial" w:cs="Arial"/>
          <w:sz w:val="24"/>
        </w:rPr>
        <w:lastRenderedPageBreak/>
        <w:t>presentan. Sin embargo, estos datos no son concluyentes, pues el tamaño de la muestra no permite definir si esta relación se debe al género o no.</w:t>
      </w:r>
      <w:r>
        <w:rPr>
          <w:rFonts w:ascii="Arial" w:hAnsi="Arial" w:cs="Arial"/>
          <w:sz w:val="24"/>
        </w:rPr>
        <w:t xml:space="preserve"> </w:t>
      </w:r>
    </w:p>
    <w:p w14:paraId="467EBE42" w14:textId="06AB276C" w:rsidR="009B23AE" w:rsidRDefault="009B23AE" w:rsidP="00FA17B6">
      <w:pPr>
        <w:spacing w:line="480" w:lineRule="auto"/>
        <w:rPr>
          <w:rFonts w:ascii="Arial" w:hAnsi="Arial" w:cs="Arial"/>
          <w:sz w:val="24"/>
        </w:rPr>
      </w:pPr>
      <w:r>
        <w:rPr>
          <w:rFonts w:ascii="Arial" w:hAnsi="Arial" w:cs="Arial"/>
          <w:sz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1" w:name="_Hlk532499847"/>
      <w:bookmarkStart w:id="2"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r w:rsidRPr="00FC0C14">
        <w:rPr>
          <w:rFonts w:ascii="Arial" w:hAnsi="Arial" w:cs="Arial"/>
        </w:rPr>
        <w:t>Tucunduva</w:t>
      </w:r>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r w:rsidRPr="003F1A8C">
        <w:rPr>
          <w:rFonts w:ascii="Arial" w:hAnsi="Arial" w:cs="Arial"/>
          <w:lang w:val="en-US"/>
        </w:rPr>
        <w:t xml:space="preserve">Recuperado de: </w:t>
      </w:r>
      <w:hyperlink r:id="rId9"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r w:rsidRPr="003F1A8C">
        <w:rPr>
          <w:rFonts w:ascii="Arial" w:hAnsi="Arial" w:cs="Arial"/>
          <w:color w:val="000000"/>
          <w:szCs w:val="20"/>
        </w:rPr>
        <w:t xml:space="preserve">Coon,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r>
        <w:rPr>
          <w:rFonts w:ascii="Arial" w:hAnsi="Arial" w:cs="Arial"/>
          <w:color w:val="000000"/>
          <w:szCs w:val="20"/>
        </w:rPr>
        <w:t xml:space="preserve">Corada, L., Montedónico,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0"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lastRenderedPageBreak/>
        <w:t xml:space="preserve">Hospital San Juan Capestrano. (2018). Signos y síntomas de los trastornos alimentarios. Recuperado de </w:t>
      </w:r>
      <w:hyperlink r:id="rId11" w:history="1">
        <w:r w:rsidRPr="0051720E">
          <w:rPr>
            <w:rStyle w:val="Hipervnculo"/>
            <w:rFonts w:ascii="Arial" w:hAnsi="Arial" w:cs="Arial"/>
            <w:szCs w:val="20"/>
          </w:rPr>
          <w:t>https://www.sanjuancapestrano.com/trastornos/alimentarios/sintomas-efectos/</w:t>
        </w:r>
      </w:hyperlink>
    </w:p>
    <w:bookmarkEnd w:id="1"/>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Clinic.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2"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A., Boneu, J., Muñoz,</w:t>
      </w:r>
      <w:r w:rsidR="00B527B0">
        <w:rPr>
          <w:rFonts w:ascii="Arial" w:hAnsi="Arial" w:cs="Arial"/>
          <w:color w:val="000000"/>
          <w:szCs w:val="20"/>
        </w:rPr>
        <w:t xml:space="preserve"> J., Almanza, P. (2012). Trastornos del comportamiento alimentario: escalas para valorar síntomas y conductas de 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3"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2,3,5</w:t>
      </w:r>
      <w:r w:rsidR="006E2AA4">
        <w:rPr>
          <w:rFonts w:ascii="Arial" w:hAnsi="Arial" w:cs="Arial"/>
          <w:color w:val="000000"/>
          <w:szCs w:val="20"/>
        </w:rPr>
        <w:t>, 10</w:t>
      </w:r>
      <w:r w:rsidR="00490733">
        <w:rPr>
          <w:rFonts w:ascii="Arial" w:hAnsi="Arial" w:cs="Arial"/>
          <w:color w:val="000000"/>
          <w:szCs w:val="20"/>
        </w:rPr>
        <w:t xml:space="preserve">. Recuperado de </w:t>
      </w:r>
      <w:hyperlink r:id="rId14"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3" w:name="_Hlk532499224"/>
      <w:bookmarkStart w:id="4" w:name="_Hlk532490152"/>
      <w:bookmarkEnd w:id="2"/>
      <w:r w:rsidRPr="00881584">
        <w:rPr>
          <w:rFonts w:ascii="Arial" w:hAnsi="Arial" w:cs="Arial"/>
          <w:color w:val="000000"/>
          <w:szCs w:val="20"/>
        </w:rPr>
        <w:t xml:space="preserve">National Eating Disorders Association. (2018). </w:t>
      </w:r>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5" w:history="1">
        <w:r w:rsidRPr="0051720E">
          <w:rPr>
            <w:rStyle w:val="Hipervnculo"/>
            <w:rFonts w:ascii="Arial" w:hAnsi="Arial" w:cs="Arial"/>
            <w:szCs w:val="20"/>
          </w:rPr>
          <w:t>https://www.nationaleatingdisorders.org/Que-es-un-trastorno-alimenticio</w:t>
        </w:r>
      </w:hyperlink>
      <w:bookmarkEnd w:id="3"/>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r w:rsidRPr="00816471">
        <w:rPr>
          <w:rFonts w:ascii="Arial" w:hAnsi="Arial" w:cs="Arial"/>
          <w:color w:val="000000"/>
          <w:szCs w:val="20"/>
        </w:rPr>
        <w:t xml:space="preserve">Portela de Santana, M. L., da Costa Ribeiro Junior, H., Mora Giral, M., &amp; Raich, R. M.ª.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6"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4"/>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17"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5" w:name="_Hlk532489187"/>
      <w:r>
        <w:rPr>
          <w:rFonts w:ascii="Arial" w:hAnsi="Arial" w:cs="Arial"/>
          <w:color w:val="000000"/>
          <w:szCs w:val="20"/>
        </w:rPr>
        <w:lastRenderedPageBreak/>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18"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6" w:name="_Hlk532499236"/>
      <w:bookmarkEnd w:id="5"/>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19" w:history="1">
        <w:r w:rsidRPr="005920BC">
          <w:rPr>
            <w:rStyle w:val="Hipervnculo"/>
            <w:rFonts w:ascii="Arial" w:hAnsi="Arial" w:cs="Arial"/>
            <w:szCs w:val="20"/>
          </w:rPr>
          <w:t>https://www.gob.mx/salud/prensa/004-jovenes-entre-15-y-19-anos-de-edad-principales-victimas-de-la-anorexia</w:t>
        </w:r>
      </w:hyperlink>
    </w:p>
    <w:bookmarkEnd w:id="6"/>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EFF59" id="_x0000_t202" coordsize="21600,21600" o:spt="202" path="m,l,21600r21600,l21600,xe">
                <v:stroke joinstyle="miter"/>
                <v:path gradientshapeok="t" o:connecttype="rect"/>
              </v:shapetype>
              <v:shape id="Cuadro de texto 2" o:spid="_x0000_s1026"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" filled="f" stroked="f" strokeweight=".5pt">
                <v:textbo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r>
              <w:rPr>
                <w:rFonts w:cstheme="minorHAnsi"/>
                <w:sz w:val="24"/>
                <w:lang w:val="en-US"/>
              </w:rPr>
              <w:t>Encuesta Tipo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0"/>
      <w:type w:val="continuous"/>
      <w:pgSz w:w="12240" w:h="15840" w:code="1"/>
      <w:pgMar w:top="1440" w:right="1440" w:bottom="1440" w:left="1440"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7E690" w14:textId="77777777" w:rsidR="00090652" w:rsidRDefault="00090652" w:rsidP="00D03031">
      <w:pPr>
        <w:spacing w:after="0" w:line="240" w:lineRule="auto"/>
      </w:pPr>
      <w:r>
        <w:separator/>
      </w:r>
    </w:p>
  </w:endnote>
  <w:endnote w:type="continuationSeparator" w:id="0">
    <w:p w14:paraId="78EC636A" w14:textId="77777777" w:rsidR="00090652" w:rsidRDefault="00090652"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928532"/>
      <w:docPartObj>
        <w:docPartGallery w:val="Page Numbers (Bottom of Page)"/>
        <w:docPartUnique/>
      </w:docPartObj>
    </w:sdtPr>
    <w:sdtEndPr/>
    <w:sdtContent>
      <w:p w14:paraId="5B0949D4" w14:textId="77777777" w:rsidR="007C0BEB" w:rsidRDefault="007C0BEB">
        <w:pPr>
          <w:pStyle w:val="Piedepgina"/>
          <w:jc w:val="right"/>
        </w:pPr>
        <w:r>
          <w:fldChar w:fldCharType="begin"/>
        </w:r>
        <w:r>
          <w:instrText>PAGE   \* MERGEFORMAT</w:instrText>
        </w:r>
        <w:r>
          <w:fldChar w:fldCharType="separate"/>
        </w:r>
        <w:r w:rsidR="00E57B95">
          <w:rPr>
            <w:noProof/>
          </w:rPr>
          <w:t>17</w:t>
        </w:r>
        <w:r>
          <w:fldChar w:fldCharType="end"/>
        </w:r>
      </w:p>
    </w:sdtContent>
  </w:sdt>
  <w:p w14:paraId="0E622DC0" w14:textId="77777777" w:rsidR="007C0BEB" w:rsidRDefault="007C0B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C82FD" w14:textId="77777777" w:rsidR="00090652" w:rsidRDefault="00090652" w:rsidP="00D03031">
      <w:pPr>
        <w:spacing w:after="0" w:line="240" w:lineRule="auto"/>
      </w:pPr>
      <w:r>
        <w:separator/>
      </w:r>
    </w:p>
  </w:footnote>
  <w:footnote w:type="continuationSeparator" w:id="0">
    <w:p w14:paraId="03754549" w14:textId="77777777" w:rsidR="00090652" w:rsidRDefault="00090652" w:rsidP="00D0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26"/>
    <w:rsid w:val="00000112"/>
    <w:rsid w:val="00002083"/>
    <w:rsid w:val="00025B5E"/>
    <w:rsid w:val="000328C2"/>
    <w:rsid w:val="0007737A"/>
    <w:rsid w:val="00084E37"/>
    <w:rsid w:val="00090652"/>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2B0"/>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90733"/>
    <w:rsid w:val="0049772A"/>
    <w:rsid w:val="004B2DB7"/>
    <w:rsid w:val="004B4FF1"/>
    <w:rsid w:val="004B5B9B"/>
    <w:rsid w:val="004C0908"/>
    <w:rsid w:val="004E1543"/>
    <w:rsid w:val="004E301D"/>
    <w:rsid w:val="005023F2"/>
    <w:rsid w:val="00520775"/>
    <w:rsid w:val="00535F0D"/>
    <w:rsid w:val="0053733A"/>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5F98"/>
    <w:rsid w:val="00656142"/>
    <w:rsid w:val="00671B8D"/>
    <w:rsid w:val="006939DE"/>
    <w:rsid w:val="006B3A95"/>
    <w:rsid w:val="006C0D40"/>
    <w:rsid w:val="006C5FA9"/>
    <w:rsid w:val="006E2AA4"/>
    <w:rsid w:val="006F37C1"/>
    <w:rsid w:val="006F59F1"/>
    <w:rsid w:val="00702723"/>
    <w:rsid w:val="007178ED"/>
    <w:rsid w:val="00725763"/>
    <w:rsid w:val="00741C53"/>
    <w:rsid w:val="007550D3"/>
    <w:rsid w:val="00765D27"/>
    <w:rsid w:val="007706F1"/>
    <w:rsid w:val="00772E5D"/>
    <w:rsid w:val="007818D5"/>
    <w:rsid w:val="007C0BEB"/>
    <w:rsid w:val="007C2D27"/>
    <w:rsid w:val="007D1248"/>
    <w:rsid w:val="007D6545"/>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78CB"/>
    <w:rsid w:val="00933BDC"/>
    <w:rsid w:val="00963911"/>
    <w:rsid w:val="0096517E"/>
    <w:rsid w:val="00984067"/>
    <w:rsid w:val="00995E4E"/>
    <w:rsid w:val="00996836"/>
    <w:rsid w:val="00997CFD"/>
    <w:rsid w:val="009A4173"/>
    <w:rsid w:val="009B004A"/>
    <w:rsid w:val="009B07F5"/>
    <w:rsid w:val="009B23AE"/>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82551"/>
    <w:rsid w:val="00D96DCE"/>
    <w:rsid w:val="00DB3AD7"/>
    <w:rsid w:val="00DB5960"/>
    <w:rsid w:val="00DB76CD"/>
    <w:rsid w:val="00E1051D"/>
    <w:rsid w:val="00E17357"/>
    <w:rsid w:val="00E238F6"/>
    <w:rsid w:val="00E23E44"/>
    <w:rsid w:val="00E3176E"/>
    <w:rsid w:val="00E37CAE"/>
    <w:rsid w:val="00E57B95"/>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15:docId w15:val="{9D89D15D-31E9-4A9C-AED1-9A5EA9A9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UnresolvedMention">
    <w:name w:val="Unresolved Mention"/>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revista.cartagenamorros.com/pdf/3-1/15TRASTORNOSCOMPORTAMIENTOALIMENTARIO.pdf" TargetMode="External"/><Relationship Id="rId18" Type="http://schemas.openxmlformats.org/officeDocument/2006/relationships/hyperlink" Target="http://www.salud.gob.mx/unidades/cdi/documentos/guiatrastorn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yoclinic.org/es-es/diseases-conditions/anorexia-nervosa/diagnosis-treatment/drc-20353597" TargetMode="External"/><Relationship Id="rId17" Type="http://schemas.openxmlformats.org/officeDocument/2006/relationships/hyperlink" Target="http://www.medigraphic.com/pdfs/revsalpubnut/spn-2005/spn052e.pdf" TargetMode="External"/><Relationship Id="rId2" Type="http://schemas.openxmlformats.org/officeDocument/2006/relationships/numbering" Target="numbering.xml"/><Relationship Id="rId16" Type="http://schemas.openxmlformats.org/officeDocument/2006/relationships/hyperlink" Target="http://scielo.isciii.es/scielo.php?script=sci_arttext&amp;pid=S0212-16112012000200008&amp;lng=es&amp;tln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juancapestrano.com/trastornos/alimentarios/sintomas-efectos/" TargetMode="External"/><Relationship Id="rId5" Type="http://schemas.openxmlformats.org/officeDocument/2006/relationships/webSettings" Target="webSettings.xml"/><Relationship Id="rId15" Type="http://schemas.openxmlformats.org/officeDocument/2006/relationships/hyperlink" Target="https://www.nationaleatingdisorders.org/Que-es-un-trastorno-alimenticio" TargetMode="External"/><Relationship Id="rId10" Type="http://schemas.openxmlformats.org/officeDocument/2006/relationships/hyperlink" Target="http://www.tesis.uchile.cl/tesis/uchile/2007/corada_l/sources/corada_l.pdf" TargetMode="External"/><Relationship Id="rId19" Type="http://schemas.openxmlformats.org/officeDocument/2006/relationships/hyperlink" Target="https://www.gob.mx/salud/prensa/004-jovenes-entre-15-y-19-anos-de-edad-principales-victimas-de-la-anorexia" TargetMode="External"/><Relationship Id="rId4" Type="http://schemas.openxmlformats.org/officeDocument/2006/relationships/settings" Target="settings.xml"/><Relationship Id="rId9" Type="http://schemas.openxmlformats.org/officeDocument/2006/relationships/hyperlink" Target="http://www.journals.unam.mx/index.php/jbhsi/article/view/10.5460.jbhsi.v2.i1.0007" TargetMode="External"/><Relationship Id="rId14" Type="http://schemas.openxmlformats.org/officeDocument/2006/relationships/hyperlink" Target="https://www.nimh.nih.gov/health/publications/espanol/los-trastornos-de-la-alimentacion/str-16-4901_152220.pdf"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261743888"/>
        <c:axId val="261746608"/>
      </c:barChart>
      <c:catAx>
        <c:axId val="26174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61746608"/>
        <c:crosses val="autoZero"/>
        <c:auto val="1"/>
        <c:lblAlgn val="ctr"/>
        <c:lblOffset val="100"/>
        <c:noMultiLvlLbl val="0"/>
      </c:catAx>
      <c:valAx>
        <c:axId val="26174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6174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689F-6721-4876-8A49-BC9B848E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3238</Words>
  <Characters>17814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Alejandro</cp:lastModifiedBy>
  <cp:revision>3</cp:revision>
  <cp:lastPrinted>2018-10-05T11:09:00Z</cp:lastPrinted>
  <dcterms:created xsi:type="dcterms:W3CDTF">2019-09-17T21:32:00Z</dcterms:created>
  <dcterms:modified xsi:type="dcterms:W3CDTF">2019-09-17T21:33:00Z</dcterms:modified>
</cp:coreProperties>
</file>