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601B9EDA" w14:textId="77777777" w:rsidR="00841284" w:rsidRDefault="00CD4174" w:rsidP="0084128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064E88EC" w14:textId="1EA9F231" w:rsidR="00841284" w:rsidRPr="00841284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 xml:space="preserve">Primera vuelta: </w:t>
      </w:r>
      <w:r w:rsidR="00841284" w:rsidRPr="00841284">
        <w:rPr>
          <w:rFonts w:ascii="Tahoma" w:hAnsi="Tahoma" w:cs="Tahoma"/>
          <w:sz w:val="16"/>
          <w:szCs w:val="16"/>
        </w:rPr>
        <w:t>Entrega de trabajo de investigación con las siguientes características:</w:t>
      </w:r>
    </w:p>
    <w:p w14:paraId="0DE7873A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0) Índice y Resumen general del trabajo</w:t>
      </w:r>
    </w:p>
    <w:p w14:paraId="063B661C" w14:textId="05A3FB2A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1) Planteamiento del problema (Pregunta de investigación, justificación y objetivos)</w:t>
      </w:r>
    </w:p>
    <w:p w14:paraId="2FC8EFD4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2) Un Marco Teórico con al menos 10 referencias.</w:t>
      </w:r>
    </w:p>
    <w:p w14:paraId="4AA55F92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3) Un Método completo y detallado (Señalando técnica de selección de la muestra, procedimiento y materiales empleados)</w:t>
      </w:r>
    </w:p>
    <w:p w14:paraId="45504FC9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4) Recolección y presentación de datos mediante el uso de recursos gráficos.</w:t>
      </w:r>
    </w:p>
    <w:p w14:paraId="3511B381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5) Discusión y Conclusiones</w:t>
      </w:r>
    </w:p>
    <w:p w14:paraId="03201B68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6) Bibliografía con referencias estilo APA.</w:t>
      </w:r>
    </w:p>
    <w:p w14:paraId="1B3F7559" w14:textId="1D588111" w:rsidR="007E2880" w:rsidRPr="009E1A09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="00841284">
        <w:rPr>
          <w:rFonts w:ascii="Tahoma" w:hAnsi="Tahoma" w:cs="Tahoma"/>
          <w:sz w:val="16"/>
          <w:szCs w:val="16"/>
          <w:lang w:val="es-MX"/>
        </w:rPr>
        <w:t>Revisión crítica de un artículo de investigación.</w:t>
      </w:r>
    </w:p>
    <w:p w14:paraId="382C16C0" w14:textId="051AF5AF" w:rsidR="007E2880" w:rsidRPr="00841284" w:rsidRDefault="00841284" w:rsidP="00841284">
      <w:pPr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  <w:lang w:val="es-MX"/>
        </w:rPr>
        <w:t>Se asignará un artículo de investigación para que los estudiantes revisen, identificando sus fortalezas y debilidades de acuerdo con una serie de preguntas guía.</w:t>
      </w:r>
    </w:p>
    <w:p w14:paraId="5C423F5B" w14:textId="4A7B91B7" w:rsidR="007E2880" w:rsidRPr="009E1A09" w:rsidRDefault="007E2880" w:rsidP="007E2880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="00841284">
        <w:rPr>
          <w:rFonts w:ascii="Tahoma" w:hAnsi="Tahoma" w:cs="Tahoma"/>
          <w:sz w:val="16"/>
          <w:szCs w:val="16"/>
          <w:lang w:val="es-MX"/>
        </w:rPr>
        <w:t>Examen de conocimientos</w:t>
      </w:r>
      <w:r w:rsidRPr="009E1A09">
        <w:rPr>
          <w:rFonts w:ascii="Tahoma" w:hAnsi="Tahoma" w:cs="Tahoma"/>
          <w:sz w:val="16"/>
          <w:szCs w:val="16"/>
          <w:lang w:val="es-MX"/>
        </w:rPr>
        <w:t>.</w:t>
      </w:r>
    </w:p>
    <w:p w14:paraId="0191EC5B" w14:textId="13D7ED9D" w:rsidR="00841284" w:rsidRPr="00841284" w:rsidRDefault="00841284" w:rsidP="00841284">
      <w:pPr>
        <w:pStyle w:val="Prrafodelista"/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 w:rsidRPr="00841284">
        <w:rPr>
          <w:rFonts w:ascii="Tahoma" w:hAnsi="Tahoma" w:cs="Tahoma"/>
          <w:sz w:val="16"/>
          <w:szCs w:val="16"/>
          <w:lang w:val="es-MX"/>
        </w:rPr>
        <w:t>30 preguntas de opción múltiple y 10 preguntas abiertas</w:t>
      </w:r>
      <w:r>
        <w:rPr>
          <w:rFonts w:ascii="Tahoma" w:hAnsi="Tahoma" w:cs="Tahoma"/>
          <w:sz w:val="16"/>
          <w:szCs w:val="16"/>
          <w:lang w:val="es-MX"/>
        </w:rPr>
        <w:t>.</w:t>
      </w:r>
    </w:p>
    <w:p w14:paraId="22BE8A41" w14:textId="77777777" w:rsidR="00CD4174" w:rsidRPr="00841284" w:rsidRDefault="00CD4174" w:rsidP="00841284">
      <w:pPr>
        <w:pStyle w:val="Prrafodelista"/>
        <w:spacing w:line="276" w:lineRule="auto"/>
        <w:ind w:left="1620"/>
        <w:rPr>
          <w:rFonts w:ascii="Tahoma" w:hAnsi="Tahoma" w:cs="Tahoma"/>
          <w:sz w:val="16"/>
          <w:szCs w:val="16"/>
          <w:lang w:val="es-MX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1A9B5F9C" w14:textId="2C8C760D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  <w:r w:rsidR="00841284">
        <w:rPr>
          <w:rFonts w:ascii="Tahoma" w:hAnsi="Tahoma" w:cs="Tahoma"/>
          <w:b/>
          <w:bCs/>
          <w:sz w:val="16"/>
          <w:szCs w:val="16"/>
        </w:rPr>
        <w:tab/>
      </w: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9E1A09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n-US" w:eastAsia="es-MX"/>
        </w:rPr>
      </w:pPr>
      <w:r w:rsidRPr="00A73B45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A73B45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A73B45">
        <w:rPr>
          <w:rFonts w:ascii="Tahoma" w:hAnsi="Tahoma" w:cs="Tahoma"/>
          <w:bCs/>
          <w:sz w:val="16"/>
          <w:szCs w:val="16"/>
          <w:lang w:val="en-US" w:eastAsia="es-MX"/>
        </w:rPr>
        <w:t xml:space="preserve"> 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(6th ed.). </w:t>
      </w:r>
      <w:r w:rsidRPr="009E1A09">
        <w:rPr>
          <w:rFonts w:ascii="Tahoma" w:hAnsi="Tahoma" w:cs="Tahoma"/>
          <w:bCs/>
          <w:sz w:val="16"/>
          <w:szCs w:val="16"/>
          <w:lang w:val="en-US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s-MX"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3358"/>
        <w:gridCol w:w="3298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796AF0A5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9E1A09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  <w:r w:rsidR="0005437A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2540CF95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C00D98">
              <w:rPr>
                <w:rFonts w:ascii="Tahoma" w:hAnsi="Tahoma" w:cs="Tahoma"/>
                <w:sz w:val="16"/>
                <w:szCs w:val="16"/>
              </w:rPr>
              <w:t>9</w:t>
            </w:r>
            <w:r w:rsidR="00353F72">
              <w:rPr>
                <w:rFonts w:ascii="Tahoma" w:hAnsi="Tahoma" w:cs="Tahoma"/>
                <w:sz w:val="16"/>
                <w:szCs w:val="16"/>
              </w:rPr>
              <w:t>-20</w:t>
            </w:r>
            <w:r w:rsidR="00C00D98">
              <w:rPr>
                <w:rFonts w:ascii="Tahoma" w:hAnsi="Tahoma" w:cs="Tahoma"/>
                <w:sz w:val="16"/>
                <w:szCs w:val="16"/>
              </w:rPr>
              <w:t>20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5DAB392B" w:rsidR="002B08AE" w:rsidRDefault="002B08AE" w:rsidP="00DD0E0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DD0E04">
              <w:rPr>
                <w:rFonts w:ascii="Tahoma" w:hAnsi="Tahoma" w:cs="Tahoma"/>
                <w:sz w:val="16"/>
                <w:szCs w:val="16"/>
              </w:rPr>
              <w:t>Quinto</w:t>
            </w:r>
            <w:bookmarkStart w:id="0" w:name="_GoBack"/>
            <w:bookmarkEnd w:id="0"/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0DEFD07E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9E1A09">
              <w:rPr>
                <w:rFonts w:ascii="Tahoma" w:hAnsi="Tahoma" w:cs="Tahoma"/>
                <w:sz w:val="16"/>
                <w:szCs w:val="16"/>
              </w:rPr>
              <w:t>Lic. Adriana Felisa Chávez</w:t>
            </w:r>
          </w:p>
          <w:p w14:paraId="4F07E72E" w14:textId="4A941B7F" w:rsidR="002B08AE" w:rsidRPr="00757492" w:rsidRDefault="00600A0D" w:rsidP="009E1A09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hyperlink r:id="rId9" w:history="1">
              <w:r w:rsidR="00C00D98" w:rsidRPr="0067346B">
                <w:rPr>
                  <w:rStyle w:val="Hipervnculo"/>
                  <w:rFonts w:ascii="Tahoma" w:hAnsi="Tahoma" w:cs="Tahoma"/>
                  <w:sz w:val="16"/>
                  <w:szCs w:val="16"/>
                </w:rPr>
                <w:t>adrifelcha@gmail.com</w:t>
              </w:r>
            </w:hyperlink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2C8B2D9C" w14:textId="0B301A9A" w:rsidR="002B08AE" w:rsidRDefault="0005437A" w:rsidP="00C00D98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502 - </w:t>
            </w:r>
            <w:r w:rsidR="00C00D98">
              <w:rPr>
                <w:rFonts w:ascii="Tahoma" w:hAnsi="Tahoma" w:cs="Tahoma"/>
                <w:sz w:val="16"/>
                <w:szCs w:val="16"/>
              </w:rPr>
              <w:t xml:space="preserve">Viernes </w:t>
            </w:r>
            <w:r>
              <w:rPr>
                <w:rFonts w:ascii="Tahoma" w:hAnsi="Tahoma" w:cs="Tahoma"/>
                <w:sz w:val="16"/>
                <w:szCs w:val="16"/>
              </w:rPr>
              <w:t>8:40 – 9:30</w:t>
            </w:r>
          </w:p>
          <w:p w14:paraId="7D3CBF47" w14:textId="14ED949C" w:rsidR="0005437A" w:rsidRPr="002B08AE" w:rsidRDefault="0005437A" w:rsidP="00C00D98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501 – Viernes 9:30 – 10:20</w:t>
            </w:r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1A4AE5A9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</w:t>
      </w:r>
      <w:r w:rsidR="009C5EF8">
        <w:rPr>
          <w:rFonts w:ascii="Tahoma" w:hAnsi="Tahoma" w:cs="Tahoma"/>
          <w:sz w:val="16"/>
          <w:szCs w:val="16"/>
          <w:lang w:val="es-ES_tradnl"/>
        </w:rPr>
        <w:t>brindar a los estudiantes las h</w:t>
      </w:r>
      <w:r w:rsidRPr="00653B7C">
        <w:rPr>
          <w:rFonts w:ascii="Tahoma" w:hAnsi="Tahoma" w:cs="Tahoma"/>
          <w:sz w:val="16"/>
          <w:szCs w:val="16"/>
          <w:lang w:val="es-ES_tradnl"/>
        </w:rPr>
        <w:t>erramientas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 básicas para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formar un pensamiento crítico y reflexivo,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desarrollando su creatividad y sistematizando el registro de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sus observaciones,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la búsqueda de información en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fuentes confiables, </w:t>
      </w:r>
      <w:r w:rsidR="009C5EF8">
        <w:rPr>
          <w:rFonts w:ascii="Tahoma" w:hAnsi="Tahoma" w:cs="Tahoma"/>
          <w:sz w:val="16"/>
          <w:szCs w:val="16"/>
          <w:lang w:val="es-ES_tradnl"/>
        </w:rPr>
        <w:t>la elaboración de un marco teórico de referencia coherente con los objetivos de la investigación propuesta y con las citas pertinentes, el diseño de un método viable y replicable y la correcta y cuidadosa interpretación de los resultados obtenidos para la construcción de una discusión integral con conclusiones definitivas.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7A8C3439" w14:textId="77777777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7D276E8" w14:textId="77777777" w:rsidR="009C5EF8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</w:t>
      </w:r>
    </w:p>
    <w:p w14:paraId="3393FCF4" w14:textId="43D128C8" w:rsidR="004F7F94" w:rsidRPr="001130DE" w:rsidRDefault="004E45EC" w:rsidP="008C2135">
      <w:pPr>
        <w:pStyle w:val="Sangradetextonormal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Sangradetextonormal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4"/>
        <w:gridCol w:w="3254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0DD62D73" w:rsidR="00A63F9D" w:rsidRPr="00A63F9D" w:rsidRDefault="00841284" w:rsidP="0084128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I: INTRODUCCIÓN A LA INVESTIGACIÓN</w:t>
            </w:r>
          </w:p>
        </w:tc>
        <w:tc>
          <w:tcPr>
            <w:tcW w:w="3380" w:type="dxa"/>
          </w:tcPr>
          <w:p w14:paraId="00228571" w14:textId="7C65A01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</w:t>
            </w:r>
            <w:r w:rsidR="009C5EF8">
              <w:rPr>
                <w:rFonts w:ascii="Tahoma" w:hAnsi="Tahoma" w:cs="Tahoma"/>
                <w:smallCaps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mallCaps/>
                <w:sz w:val="16"/>
                <w:szCs w:val="16"/>
              </w:rPr>
              <w:t xml:space="preserve"> DE AGOSTO A</w:t>
            </w:r>
            <w:r w:rsidR="0005437A">
              <w:rPr>
                <w:rFonts w:ascii="Tahoma" w:hAnsi="Tahoma" w:cs="Tahoma"/>
                <w:smallCaps/>
                <w:sz w:val="16"/>
                <w:szCs w:val="16"/>
              </w:rPr>
              <w:t xml:space="preserve"> 23 DE AGOSTO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4814A7D2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II: PLANTEAMIENTO DE UN PROBLEMA DE INVESTIGACIÓN</w:t>
            </w:r>
          </w:p>
        </w:tc>
        <w:tc>
          <w:tcPr>
            <w:tcW w:w="3380" w:type="dxa"/>
          </w:tcPr>
          <w:p w14:paraId="243AFFF8" w14:textId="0109EB90" w:rsidR="00A63F9D" w:rsidRPr="00A63F9D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30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AGOSTO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13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6A979307" w:rsidR="00A63F9D" w:rsidRPr="00A63F9D" w:rsidRDefault="00841284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III: BÚSQUEDA DE INFORMACIÓN</w:t>
            </w:r>
            <w:r w:rsidR="0005437A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Y DESARROLLO DEL MARCO TEÓRICO</w:t>
            </w:r>
          </w:p>
        </w:tc>
        <w:tc>
          <w:tcPr>
            <w:tcW w:w="3380" w:type="dxa"/>
          </w:tcPr>
          <w:p w14:paraId="314CA310" w14:textId="21103D53" w:rsidR="00A63F9D" w:rsidRPr="00A63F9D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20 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>
              <w:rPr>
                <w:rFonts w:ascii="Tahoma" w:hAnsi="Tahoma" w:cs="Tahoma"/>
                <w:sz w:val="16"/>
                <w:szCs w:val="16"/>
              </w:rPr>
              <w:t>SEPTIEMBRE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27 DE SEPTIEMBRE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16CF55E6" w14:textId="5C944B9D" w:rsidR="00A63F9D" w:rsidRPr="00A63F9D" w:rsidRDefault="00841284" w:rsidP="0005437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IV: </w:t>
            </w:r>
            <w:r w:rsidR="0005437A">
              <w:rPr>
                <w:rFonts w:ascii="Tahoma" w:hAnsi="Tahoma" w:cs="Tahoma"/>
                <w:b/>
                <w:bCs/>
                <w:sz w:val="16"/>
                <w:szCs w:val="16"/>
              </w:rPr>
              <w:t>MÉTODO</w:t>
            </w:r>
          </w:p>
        </w:tc>
        <w:tc>
          <w:tcPr>
            <w:tcW w:w="3380" w:type="dxa"/>
          </w:tcPr>
          <w:p w14:paraId="2B1F13AD" w14:textId="31FE5DB5" w:rsidR="00A63F9D" w:rsidRPr="00A63F9D" w:rsidRDefault="009C5EF8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05437A">
              <w:rPr>
                <w:rFonts w:ascii="Tahoma" w:hAnsi="Tahoma" w:cs="Tahoma"/>
                <w:sz w:val="16"/>
                <w:szCs w:val="16"/>
              </w:rPr>
              <w:t>8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 w:rsidR="0005437A">
              <w:rPr>
                <w:rFonts w:ascii="Tahoma" w:hAnsi="Tahoma" w:cs="Tahoma"/>
                <w:sz w:val="16"/>
                <w:szCs w:val="16"/>
              </w:rPr>
              <w:t>OCTUBRE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 w:rsidR="0005437A">
              <w:rPr>
                <w:rFonts w:ascii="Tahoma" w:hAnsi="Tahoma" w:cs="Tahoma"/>
                <w:sz w:val="16"/>
                <w:szCs w:val="16"/>
              </w:rPr>
              <w:t>1 DE NOVIEMBRE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6018DEB9" w:rsidR="00A63F9D" w:rsidRPr="00A63F9D" w:rsidRDefault="00841284" w:rsidP="0005437A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V: D</w:t>
            </w:r>
            <w:r w:rsidR="0005437A">
              <w:rPr>
                <w:rFonts w:ascii="Tahoma" w:hAnsi="Tahoma" w:cs="Tahoma"/>
                <w:b/>
                <w:bCs/>
                <w:sz w:val="16"/>
                <w:szCs w:val="16"/>
              </w:rPr>
              <w:t>ISEÑO EXPERIMENTAL</w:t>
            </w:r>
          </w:p>
        </w:tc>
        <w:tc>
          <w:tcPr>
            <w:tcW w:w="3380" w:type="dxa"/>
          </w:tcPr>
          <w:p w14:paraId="4111DA81" w14:textId="4F4E30A7" w:rsidR="00A63F9D" w:rsidRPr="00A63F9D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  <w:r w:rsidR="00423E7B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NOVIEMBRE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15 DE NOVIEMBRE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6FBCB685" w:rsidR="00A63F9D" w:rsidRPr="00A63F9D" w:rsidRDefault="0005437A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 LEVANTAMIENTO DE ENCUESTAS</w:t>
            </w:r>
          </w:p>
        </w:tc>
        <w:tc>
          <w:tcPr>
            <w:tcW w:w="3380" w:type="dxa"/>
          </w:tcPr>
          <w:p w14:paraId="7858BDDA" w14:textId="03A983EE" w:rsidR="00A63F9D" w:rsidRPr="00A63F9D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22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NOVIEMBRE A 29 DE NOVIEMBRE</w:t>
            </w:r>
          </w:p>
        </w:tc>
      </w:tr>
      <w:tr w:rsidR="00841284" w:rsidRPr="00A63F9D" w14:paraId="2C69E672" w14:textId="77777777" w:rsidTr="00A63F9D">
        <w:tc>
          <w:tcPr>
            <w:tcW w:w="3394" w:type="dxa"/>
          </w:tcPr>
          <w:p w14:paraId="2A9ADBBA" w14:textId="5AEAB531" w:rsidR="00841284" w:rsidRDefault="00841284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VII: RECOLECCIÓN Y ANÁLISIS DE DATOS</w:t>
            </w:r>
          </w:p>
        </w:tc>
        <w:tc>
          <w:tcPr>
            <w:tcW w:w="3380" w:type="dxa"/>
          </w:tcPr>
          <w:p w14:paraId="11EC2C3D" w14:textId="06985265" w:rsidR="00841284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ENERO A 21 DE FEBRERO</w:t>
            </w:r>
          </w:p>
        </w:tc>
      </w:tr>
      <w:tr w:rsidR="00841284" w:rsidRPr="00A63F9D" w14:paraId="6ACE306C" w14:textId="77777777" w:rsidTr="00A63F9D">
        <w:tc>
          <w:tcPr>
            <w:tcW w:w="3394" w:type="dxa"/>
          </w:tcPr>
          <w:p w14:paraId="30C158AE" w14:textId="3EA9A8B0" w:rsidR="00841284" w:rsidRDefault="00841284" w:rsidP="0005437A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VIII: DISCUSIÓN Y CONCLUSIONES</w:t>
            </w:r>
          </w:p>
        </w:tc>
        <w:tc>
          <w:tcPr>
            <w:tcW w:w="3380" w:type="dxa"/>
          </w:tcPr>
          <w:p w14:paraId="0473D565" w14:textId="619D5F04" w:rsidR="00841284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MARZO A 27 DE MARZO</w:t>
            </w:r>
          </w:p>
        </w:tc>
      </w:tr>
      <w:tr w:rsidR="0005437A" w:rsidRPr="00A63F9D" w14:paraId="7F11E54E" w14:textId="77777777" w:rsidTr="00A63F9D">
        <w:tc>
          <w:tcPr>
            <w:tcW w:w="3394" w:type="dxa"/>
          </w:tcPr>
          <w:p w14:paraId="452E1760" w14:textId="68E1975C" w:rsidR="0005437A" w:rsidRDefault="0005437A" w:rsidP="0005437A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IX: DIVULGACIÓN CIENTÍFICA</w:t>
            </w:r>
          </w:p>
        </w:tc>
        <w:tc>
          <w:tcPr>
            <w:tcW w:w="3380" w:type="dxa"/>
          </w:tcPr>
          <w:p w14:paraId="144390AC" w14:textId="6D530BCB" w:rsidR="0005437A" w:rsidRDefault="0005437A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DE ABRIL A 24 DE ABRIL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Sangradetextonormal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8AD72F8" w14:textId="52D3754D" w:rsidR="001130DE" w:rsidRPr="001130DE" w:rsidRDefault="001130DE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 4° año, se realiza una presentación completa de los elementos básicos que conforman todo proyecto de investigación.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696573ED" w14:textId="48A4BC2A" w:rsidR="004E45EC" w:rsidRDefault="004E45EC" w:rsidP="004F7F94">
      <w:pPr>
        <w:pStyle w:val="Sangradetextonormal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entregarán </w:t>
      </w:r>
      <w:r w:rsidR="00841284">
        <w:rPr>
          <w:rFonts w:ascii="Tahoma" w:hAnsi="Tahoma" w:cs="Tahoma"/>
          <w:b/>
          <w:sz w:val="16"/>
          <w:szCs w:val="16"/>
          <w:lang w:val="es-ES_tradnl"/>
        </w:rPr>
        <w:t xml:space="preserve">avances de un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proyect</w:t>
      </w:r>
      <w:r w:rsidRPr="00841284">
        <w:rPr>
          <w:rFonts w:ascii="Tahoma" w:hAnsi="Tahoma" w:cs="Tahoma"/>
          <w:b/>
          <w:sz w:val="16"/>
          <w:szCs w:val="16"/>
          <w:lang w:val="es-ES_tradnl"/>
        </w:rPr>
        <w:t>o de investigación</w:t>
      </w:r>
      <w:r>
        <w:rPr>
          <w:rFonts w:ascii="Tahoma" w:hAnsi="Tahoma" w:cs="Tahoma"/>
          <w:sz w:val="16"/>
          <w:szCs w:val="16"/>
          <w:lang w:val="es-ES_tradnl"/>
        </w:rPr>
        <w:t xml:space="preserve">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>l menos un producto de investigación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, mismo que será revisado por la profesora con el apoyo de </w:t>
      </w:r>
      <w:r>
        <w:rPr>
          <w:rFonts w:ascii="Tahoma" w:hAnsi="Tahoma" w:cs="Tahoma"/>
          <w:b/>
          <w:sz w:val="16"/>
          <w:szCs w:val="16"/>
          <w:lang w:val="es-ES_tradnl"/>
        </w:rPr>
        <w:t>rúbrica</w:t>
      </w:r>
      <w:r w:rsidR="001648EA">
        <w:rPr>
          <w:rFonts w:ascii="Tahoma" w:hAnsi="Tahoma" w:cs="Tahoma"/>
          <w:b/>
          <w:sz w:val="16"/>
          <w:szCs w:val="16"/>
          <w:lang w:val="es-ES_tradnl"/>
        </w:rPr>
        <w:t>s</w:t>
      </w:r>
      <w:r>
        <w:rPr>
          <w:rFonts w:ascii="Tahoma" w:hAnsi="Tahoma" w:cs="Tahoma"/>
          <w:b/>
          <w:sz w:val="16"/>
          <w:szCs w:val="16"/>
          <w:lang w:val="es-ES_tradnl"/>
        </w:rPr>
        <w:t xml:space="preserve">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 w:rsidR="001648EA">
        <w:rPr>
          <w:rFonts w:ascii="Tahoma" w:hAnsi="Tahoma" w:cs="Tahoma"/>
          <w:sz w:val="16"/>
          <w:szCs w:val="16"/>
          <w:lang w:val="es-ES_tradnl"/>
        </w:rPr>
        <w:t>los alumnos estarán entregando en cada bimestre al menos un trabajo que resulte de un ejercicio de reflexión en torno a la aplicación, en el contexto de la investigación que se realiza día a día en el mundo, de los principios y estándares de calidad revisados en clase.</w:t>
      </w:r>
    </w:p>
    <w:p w14:paraId="6308ABFC" w14:textId="7F4FEF53" w:rsidR="005A5AAA" w:rsidRPr="001648EA" w:rsidRDefault="005A5AAA" w:rsidP="004F7F94">
      <w:pPr>
        <w:spacing w:line="276" w:lineRule="auto"/>
        <w:rPr>
          <w:rFonts w:ascii="Tahoma" w:hAnsi="Tahoma" w:cs="Tahoma"/>
          <w:sz w:val="16"/>
          <w:szCs w:val="16"/>
          <w:lang w:val="es-ES_tradnl"/>
        </w:rPr>
      </w:pPr>
    </w:p>
    <w:p w14:paraId="5EBAD842" w14:textId="04584C3F" w:rsidR="005A5AAA" w:rsidRDefault="00906258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Sangradetextonormal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4DBA6065" w14:textId="7857F7C8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Bimestre 1:      </w:t>
      </w:r>
      <w:r>
        <w:rPr>
          <w:rFonts w:ascii="Tahoma" w:hAnsi="Tahoma" w:cs="Tahoma"/>
          <w:sz w:val="16"/>
          <w:szCs w:val="16"/>
          <w:lang w:val="es-ES_tradnl"/>
        </w:rPr>
        <w:t xml:space="preserve"> </w:t>
      </w:r>
      <w:r w:rsidRPr="0005437A">
        <w:rPr>
          <w:rFonts w:ascii="Tahoma" w:hAnsi="Tahoma" w:cs="Tahoma"/>
          <w:sz w:val="16"/>
          <w:szCs w:val="16"/>
          <w:lang w:val="es-ES_tradnl"/>
        </w:rPr>
        <w:t>-10% Actividad en clase: Clasificación de los tipos de investigación</w:t>
      </w:r>
    </w:p>
    <w:p w14:paraId="0210F03E" w14:textId="63EC515E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 -10% Actividad en clase: Búsqueda de información.</w:t>
      </w:r>
    </w:p>
    <w:p w14:paraId="5EDD1D10" w14:textId="53A199B0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-20% Trabajo: Revisión de una propuesta de investigación</w:t>
      </w:r>
    </w:p>
    <w:p w14:paraId="63B0E4E6" w14:textId="6E4ABF3D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-20% Práctica 1</w:t>
      </w:r>
    </w:p>
    <w:p w14:paraId="144A4697" w14:textId="66A2CAAA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          </w:t>
      </w:r>
      <w:r w:rsidRPr="0005437A">
        <w:rPr>
          <w:rFonts w:ascii="Tahoma" w:hAnsi="Tahoma" w:cs="Tahoma"/>
          <w:sz w:val="16"/>
          <w:szCs w:val="16"/>
          <w:lang w:val="es-ES_tradnl"/>
        </w:rPr>
        <w:t>-40% Primera entrega de TMI: Planteamiento del problema y adelanto de Marco Teórico</w:t>
      </w:r>
    </w:p>
    <w:p w14:paraId="0082CC13" w14:textId="77777777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>Bimestre 2:        -40% Trabajo: Revisión de un experimento publicado</w:t>
      </w:r>
    </w:p>
    <w:p w14:paraId="34DBB7BD" w14:textId="70CD9862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          </w:t>
      </w:r>
      <w:r w:rsidRPr="0005437A">
        <w:rPr>
          <w:rFonts w:ascii="Tahoma" w:hAnsi="Tahoma" w:cs="Tahoma"/>
          <w:sz w:val="16"/>
          <w:szCs w:val="16"/>
          <w:lang w:val="es-ES_tradnl"/>
        </w:rPr>
        <w:t>-40% Trabajo: Revisión de un instrumento publicado</w:t>
      </w:r>
    </w:p>
    <w:p w14:paraId="6C24A866" w14:textId="0A27BF4B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-20% Segunda entrega de TMI: Marco teórico completo</w:t>
      </w:r>
    </w:p>
    <w:p w14:paraId="555D351F" w14:textId="77777777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>Bimestre 3:         -10% Actividad: Lectura e interpretación de gráficas</w:t>
      </w:r>
    </w:p>
    <w:p w14:paraId="73CBC33F" w14:textId="67A12592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-20% Trabajo: Graficación de datos</w:t>
      </w:r>
    </w:p>
    <w:p w14:paraId="6B0E31AF" w14:textId="2A7029DF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-20% Trabajo grupal: Ejercicio de análisis de datos</w:t>
      </w:r>
    </w:p>
    <w:p w14:paraId="1A94F2B3" w14:textId="1C6A3920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-50% Tercera entrega de TMI: Método (Propuesta de un experimento y/o encuesta)</w:t>
      </w:r>
    </w:p>
    <w:p w14:paraId="5F2F74B3" w14:textId="77777777" w:rsidR="0005437A" w:rsidRPr="0005437A" w:rsidRDefault="0005437A" w:rsidP="0005437A">
      <w:pPr>
        <w:rPr>
          <w:rFonts w:ascii="Tahoma" w:hAnsi="Tahoma" w:cs="Tahoma"/>
          <w:sz w:val="16"/>
          <w:szCs w:val="16"/>
          <w:lang w:val="es-ES_tradnl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>Bimestre 4:        -50%  Exposición de un proyecto de investigación</w:t>
      </w:r>
    </w:p>
    <w:p w14:paraId="4A1654E0" w14:textId="7C63B7BE" w:rsidR="008C2135" w:rsidRDefault="0005437A" w:rsidP="0005437A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05437A">
        <w:rPr>
          <w:rFonts w:ascii="Tahoma" w:hAnsi="Tahoma" w:cs="Tahoma"/>
          <w:sz w:val="16"/>
          <w:szCs w:val="16"/>
          <w:lang w:val="es-ES_tradnl"/>
        </w:rPr>
        <w:t xml:space="preserve">            -50%  Cuarta entrega de TMI: Formato y consistencia interna</w:t>
      </w:r>
      <w:r>
        <w:rPr>
          <w:lang w:val="es-MX"/>
        </w:rPr>
        <w:t>.</w:t>
      </w:r>
    </w:p>
    <w:p w14:paraId="2CF6A3DD" w14:textId="3423ECA6" w:rsidR="005A5AAA" w:rsidRPr="00E550F5" w:rsidRDefault="005A5AAA" w:rsidP="004F7F94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lastRenderedPageBreak/>
        <w:t xml:space="preserve">Las fechas </w:t>
      </w:r>
      <w:r w:rsidR="004C78F7">
        <w:rPr>
          <w:rFonts w:ascii="Tahoma" w:hAnsi="Tahoma" w:cs="Tahoma"/>
          <w:sz w:val="16"/>
          <w:szCs w:val="16"/>
        </w:rPr>
        <w:t>de entrega de</w:t>
      </w:r>
      <w:r w:rsidRPr="00E550F5">
        <w:rPr>
          <w:rFonts w:ascii="Tahoma" w:hAnsi="Tahoma" w:cs="Tahoma"/>
          <w:sz w:val="16"/>
          <w:szCs w:val="16"/>
        </w:rPr>
        <w:t xml:space="preserve">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aconcuadrcula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C78F7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1749AC08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9F66F1B" w14:textId="37BBCFF3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bimestre.</w:t>
            </w:r>
          </w:p>
        </w:tc>
      </w:tr>
      <w:tr w:rsidR="004C78F7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0C431F24" w14:textId="18F849F1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Ensayo/Reflexión</w:t>
            </w:r>
          </w:p>
        </w:tc>
        <w:tc>
          <w:tcPr>
            <w:tcW w:w="988" w:type="dxa"/>
          </w:tcPr>
          <w:p w14:paraId="060E603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vMerge/>
          </w:tcPr>
          <w:p w14:paraId="708D603D" w14:textId="0F3A607A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2ED4307F" w:rsidR="00B53F8A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1° Entrega TMI: Propuesta de investigación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16850D5F" w:rsidR="00B53F8A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45</w:t>
            </w:r>
            <w:r w:rsidR="00B53F8A"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C78F7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26945DC9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</w:tcPr>
          <w:p w14:paraId="4165F473" w14:textId="5B2F5A5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</w:tcPr>
          <w:p w14:paraId="19F602C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7F5FC5FA" w14:textId="6A93D8CD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4E5DF7CD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Prácticas en clase</w:t>
            </w:r>
          </w:p>
        </w:tc>
        <w:tc>
          <w:tcPr>
            <w:tcW w:w="988" w:type="dxa"/>
          </w:tcPr>
          <w:p w14:paraId="44174310" w14:textId="299076E6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</w:tcPr>
          <w:p w14:paraId="4B74A8A2" w14:textId="23BCB845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709257A8" w:rsidR="000E3890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2° Entrega TMI: Adelanto del Marco Teórico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4C78F7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2F693BAC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3966ABD1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19971361" w14:textId="223B555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51A57343" w:rsidR="004C78F7" w:rsidRPr="00AA6184" w:rsidRDefault="004C78F7" w:rsidP="004C78F7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un proyecto de investigación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12" w:space="0" w:color="000000"/>
            </w:tcBorders>
          </w:tcPr>
          <w:p w14:paraId="4C2C6107" w14:textId="47A5A98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025666A1" w:rsidR="008C2135" w:rsidRP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3° Entrega TMI: Propuesta metodológica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4C78F7" w:rsidRPr="00AA6184" w14:paraId="39DEFAF6" w14:textId="77777777" w:rsidTr="00D7013E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57781E22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27489AA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43193A51" w14:textId="64CF3332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15F5C4D3" w14:textId="77777777" w:rsidTr="00D7013E">
        <w:trPr>
          <w:trHeight w:val="225"/>
        </w:trPr>
        <w:tc>
          <w:tcPr>
            <w:tcW w:w="423" w:type="dxa"/>
            <w:vMerge/>
          </w:tcPr>
          <w:p w14:paraId="5EB9F7D5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58143546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Exposición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8" w:space="0" w:color="000000"/>
            </w:tcBorders>
          </w:tcPr>
          <w:p w14:paraId="70B2C9D4" w14:textId="3E4399EA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34836AD" w:rsidR="008C2135" w:rsidRPr="00AA6184" w:rsidRDefault="004C78F7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4° Entrega TMI: Formato y consistencia interna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9B167" w14:textId="77777777" w:rsidR="00600A0D" w:rsidRDefault="00600A0D" w:rsidP="00051A35">
      <w:r>
        <w:separator/>
      </w:r>
    </w:p>
  </w:endnote>
  <w:endnote w:type="continuationSeparator" w:id="0">
    <w:p w14:paraId="635FE0C4" w14:textId="77777777" w:rsidR="00600A0D" w:rsidRDefault="00600A0D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5FBC8" w14:textId="77777777" w:rsidR="00600A0D" w:rsidRDefault="00600A0D" w:rsidP="00051A35">
      <w:r>
        <w:separator/>
      </w:r>
    </w:p>
  </w:footnote>
  <w:footnote w:type="continuationSeparator" w:id="0">
    <w:p w14:paraId="346A7E5E" w14:textId="77777777" w:rsidR="00600A0D" w:rsidRDefault="00600A0D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F75CA"/>
    <w:multiLevelType w:val="hybridMultilevel"/>
    <w:tmpl w:val="09C29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7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AA"/>
    <w:rsid w:val="000147F2"/>
    <w:rsid w:val="00051A35"/>
    <w:rsid w:val="0005437A"/>
    <w:rsid w:val="00061847"/>
    <w:rsid w:val="000A5DCD"/>
    <w:rsid w:val="000C4A5B"/>
    <w:rsid w:val="000E3890"/>
    <w:rsid w:val="000E677A"/>
    <w:rsid w:val="001130DE"/>
    <w:rsid w:val="00117326"/>
    <w:rsid w:val="00151F96"/>
    <w:rsid w:val="001648EA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23E7B"/>
    <w:rsid w:val="00432C25"/>
    <w:rsid w:val="00473839"/>
    <w:rsid w:val="00486FD3"/>
    <w:rsid w:val="00490C0C"/>
    <w:rsid w:val="004A223F"/>
    <w:rsid w:val="004B354F"/>
    <w:rsid w:val="004C78F7"/>
    <w:rsid w:val="004E2BC9"/>
    <w:rsid w:val="004E45EC"/>
    <w:rsid w:val="004F1B1B"/>
    <w:rsid w:val="004F7F94"/>
    <w:rsid w:val="005743BF"/>
    <w:rsid w:val="005A5AAA"/>
    <w:rsid w:val="005B2B3A"/>
    <w:rsid w:val="00600A0D"/>
    <w:rsid w:val="00612159"/>
    <w:rsid w:val="00617D23"/>
    <w:rsid w:val="0062169D"/>
    <w:rsid w:val="00627AE8"/>
    <w:rsid w:val="00653B7C"/>
    <w:rsid w:val="00673B70"/>
    <w:rsid w:val="0067458B"/>
    <w:rsid w:val="006779D7"/>
    <w:rsid w:val="006931FD"/>
    <w:rsid w:val="006B6C39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41284"/>
    <w:rsid w:val="008C2135"/>
    <w:rsid w:val="00905E83"/>
    <w:rsid w:val="00906258"/>
    <w:rsid w:val="009248CD"/>
    <w:rsid w:val="00934CB1"/>
    <w:rsid w:val="00952846"/>
    <w:rsid w:val="009A1664"/>
    <w:rsid w:val="009A4809"/>
    <w:rsid w:val="009A65B2"/>
    <w:rsid w:val="009C5EF8"/>
    <w:rsid w:val="009C7429"/>
    <w:rsid w:val="009E1A09"/>
    <w:rsid w:val="00A273D6"/>
    <w:rsid w:val="00A63F9D"/>
    <w:rsid w:val="00A73B45"/>
    <w:rsid w:val="00AA6184"/>
    <w:rsid w:val="00AA724B"/>
    <w:rsid w:val="00B065FF"/>
    <w:rsid w:val="00B102D4"/>
    <w:rsid w:val="00B34413"/>
    <w:rsid w:val="00B45134"/>
    <w:rsid w:val="00B53F8A"/>
    <w:rsid w:val="00B61C56"/>
    <w:rsid w:val="00C00D98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16250"/>
    <w:rsid w:val="00DD004F"/>
    <w:rsid w:val="00DD0E04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rsid w:val="00397C8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Sangra2detindependiente">
    <w:name w:val="Body Text Indent 2"/>
    <w:basedOn w:val="Normal"/>
    <w:link w:val="Sangra2detindependienteC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397C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9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tuloCar">
    <w:name w:val="Subtítulo Car"/>
    <w:basedOn w:val="Fuentedeprrafopredeter"/>
    <w:link w:val="Subttulo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051A35"/>
    <w:rPr>
      <w:vertAlign w:val="superscript"/>
    </w:rPr>
  </w:style>
  <w:style w:type="table" w:styleId="Tablaconcuadrcula">
    <w:name w:val="Table Grid"/>
    <w:basedOn w:val="Tabla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1952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E195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E1952"/>
    <w:rPr>
      <w:vertAlign w:val="superscript"/>
    </w:rPr>
  </w:style>
  <w:style w:type="paragraph" w:styleId="Puesto">
    <w:name w:val="Title"/>
    <w:basedOn w:val="Normal"/>
    <w:link w:val="PuestoCar"/>
    <w:qFormat/>
    <w:rsid w:val="001648EA"/>
    <w:pPr>
      <w:jc w:val="center"/>
    </w:pPr>
    <w:rPr>
      <w:rFonts w:ascii="Century Gothic" w:eastAsia="Times New Roman" w:hAnsi="Century Gothic"/>
      <w:b/>
      <w:bCs/>
      <w:noProof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1648EA"/>
    <w:rPr>
      <w:rFonts w:ascii="Century Gothic" w:eastAsia="Times New Roman" w:hAnsi="Century Gothic"/>
      <w:b/>
      <w:bCs/>
      <w:noProof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9EA8E5-338A-428F-9D53-61CBB676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1365</Words>
  <Characters>7510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EDUCATIVO JEAN PIAGET</vt:lpstr>
      <vt:lpstr>CENTRO EDUCATIVO JEAN PIAGET</vt:lpstr>
    </vt:vector>
  </TitlesOfParts>
  <Company>Hewlett-Packard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Adriana</cp:lastModifiedBy>
  <cp:revision>4</cp:revision>
  <cp:lastPrinted>2015-08-20T03:11:00Z</cp:lastPrinted>
  <dcterms:created xsi:type="dcterms:W3CDTF">2019-06-28T14:53:00Z</dcterms:created>
  <dcterms:modified xsi:type="dcterms:W3CDTF">2019-06-28T15:05:00Z</dcterms:modified>
</cp:coreProperties>
</file>