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7710A" w14:textId="77777777" w:rsidR="004B7CE4" w:rsidRDefault="00433AC8">
      <w:pPr>
        <w:pStyle w:val="Cuerpo"/>
        <w:spacing w:line="360" w:lineRule="auto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/>
          <w:sz w:val="24"/>
          <w:szCs w:val="24"/>
        </w:rPr>
        <w:t>Isabel De Larra</w:t>
      </w:r>
      <w:r>
        <w:rPr>
          <w:rFonts w:ascii="Arial" w:hAnsi="Arial"/>
          <w:sz w:val="24"/>
          <w:szCs w:val="24"/>
        </w:rPr>
        <w:t>ñ</w:t>
      </w:r>
      <w:r>
        <w:rPr>
          <w:rFonts w:ascii="Arial" w:hAnsi="Arial"/>
          <w:sz w:val="24"/>
          <w:szCs w:val="24"/>
        </w:rPr>
        <w:t>aga Velasco</w:t>
      </w:r>
    </w:p>
    <w:p w14:paraId="70988DE2" w14:textId="77777777" w:rsidR="004B7CE4" w:rsidRDefault="00433AC8">
      <w:pPr>
        <w:pStyle w:val="Cuerpo"/>
        <w:spacing w:line="360" w:lineRule="auto"/>
        <w:jc w:val="center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>Bowling for Columbine</w:t>
      </w:r>
    </w:p>
    <w:p w14:paraId="2787FDAE" w14:textId="77777777" w:rsidR="004B7CE4" w:rsidRDefault="004B7CE4">
      <w:pPr>
        <w:pStyle w:val="Cuerpo"/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271BC950" w14:textId="77777777" w:rsidR="004B7CE4" w:rsidRDefault="00433AC8">
      <w:pPr>
        <w:pStyle w:val="Cuerpo"/>
        <w:spacing w:line="360" w:lineRule="auto"/>
        <w:rPr>
          <w:rStyle w:val="Ninguno"/>
          <w:rFonts w:ascii="Arial" w:eastAsia="Arial" w:hAnsi="Arial" w:cs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</w:rPr>
        <w:t>La violencia no es un tema tab</w:t>
      </w:r>
      <w:r>
        <w:rPr>
          <w:rStyle w:val="Ninguno"/>
          <w:rFonts w:ascii="Arial" w:hAnsi="Arial"/>
          <w:sz w:val="24"/>
          <w:szCs w:val="24"/>
        </w:rPr>
        <w:t>ú</w:t>
      </w:r>
      <w:r>
        <w:rPr>
          <w:rStyle w:val="Ninguno"/>
          <w:rFonts w:ascii="Arial" w:hAnsi="Arial"/>
          <w:sz w:val="24"/>
          <w:szCs w:val="24"/>
        </w:rPr>
        <w:t>. Como generaci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n nos enfrentamos a un incesante bombardeo de noticias violentas, donde ninguna regi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 xml:space="preserve">n, naturalmente, parece estar libre del miedo y de constantes amenazas. </w:t>
      </w:r>
      <w:r>
        <w:rPr>
          <w:rStyle w:val="Ninguno"/>
          <w:rFonts w:ascii="Arial" w:hAnsi="Arial"/>
          <w:sz w:val="24"/>
          <w:szCs w:val="24"/>
        </w:rPr>
        <w:t>Es as</w:t>
      </w:r>
      <w:r>
        <w:rPr>
          <w:rStyle w:val="Ninguno"/>
          <w:rFonts w:ascii="Arial" w:hAnsi="Arial"/>
          <w:sz w:val="24"/>
          <w:szCs w:val="24"/>
        </w:rPr>
        <w:t>í</w:t>
      </w:r>
      <w:r>
        <w:rPr>
          <w:rStyle w:val="Ninguno"/>
          <w:rFonts w:ascii="Arial" w:hAnsi="Arial"/>
          <w:sz w:val="24"/>
          <w:szCs w:val="24"/>
        </w:rPr>
        <w:t>, como el aclamado documentalista Michal Moore dirige y protagoniza esta cr</w:t>
      </w:r>
      <w:r>
        <w:rPr>
          <w:rStyle w:val="Ninguno"/>
          <w:rFonts w:ascii="Arial" w:hAnsi="Arial"/>
          <w:sz w:val="24"/>
          <w:szCs w:val="24"/>
        </w:rPr>
        <w:t>í</w:t>
      </w:r>
      <w:r>
        <w:rPr>
          <w:rStyle w:val="Ninguno"/>
          <w:rFonts w:ascii="Arial" w:hAnsi="Arial"/>
          <w:sz w:val="24"/>
          <w:szCs w:val="24"/>
        </w:rPr>
        <w:t xml:space="preserve">tica al uso de armas en Estados Unidos y, consecuentemente, gana el </w:t>
      </w:r>
      <w:hyperlink r:id="rId6" w:history="1">
        <w:r>
          <w:rPr>
            <w:rStyle w:val="Hyperlink0"/>
          </w:rPr>
          <w:t>Premio Óscar al Mejor Documental Largo</w:t>
        </w:r>
      </w:hyperlink>
      <w:r>
        <w:rPr>
          <w:rStyle w:val="Ninguno"/>
          <w:rFonts w:ascii="Arial" w:hAnsi="Arial"/>
          <w:sz w:val="24"/>
          <w:szCs w:val="24"/>
        </w:rPr>
        <w:t xml:space="preserve">, </w:t>
      </w:r>
      <w:hyperlink r:id="rId7" w:history="1">
        <w:r>
          <w:rPr>
            <w:rStyle w:val="Hyperlink0"/>
          </w:rPr>
          <w:t>Premio César a la Mejor Pelíc</w:t>
        </w:r>
        <w:r>
          <w:rPr>
            <w:rStyle w:val="Hyperlink0"/>
          </w:rPr>
          <w:t>ula Extranjera</w:t>
        </w:r>
      </w:hyperlink>
      <w:r>
        <w:rPr>
          <w:rStyle w:val="Ninguno"/>
          <w:rFonts w:ascii="Arial" w:hAnsi="Arial"/>
          <w:sz w:val="24"/>
          <w:szCs w:val="24"/>
        </w:rPr>
        <w:t xml:space="preserve">, </w:t>
      </w:r>
      <w:hyperlink r:id="rId8" w:history="1">
        <w:r>
          <w:rPr>
            <w:rStyle w:val="Hyperlink0"/>
          </w:rPr>
          <w:t>Premio WGA al Mejor Guión Original</w:t>
        </w:r>
      </w:hyperlink>
      <w:r>
        <w:rPr>
          <w:rStyle w:val="Ninguno"/>
          <w:rFonts w:ascii="Arial" w:hAnsi="Arial"/>
          <w:sz w:val="24"/>
          <w:szCs w:val="24"/>
        </w:rPr>
        <w:t xml:space="preserve">, </w:t>
      </w:r>
      <w:hyperlink r:id="rId9" w:history="1">
        <w:r>
          <w:rPr>
            <w:rStyle w:val="Hyperlink0"/>
          </w:rPr>
          <w:t>Independent Spirit Award al Mejor Documental</w:t>
        </w:r>
      </w:hyperlink>
      <w:r>
        <w:rPr>
          <w:rStyle w:val="Ninguno"/>
          <w:rFonts w:ascii="Arial" w:hAnsi="Arial"/>
          <w:sz w:val="24"/>
          <w:szCs w:val="24"/>
        </w:rPr>
        <w:t xml:space="preserve"> y mucho otros m</w:t>
      </w:r>
      <w:r>
        <w:rPr>
          <w:rStyle w:val="Ninguno"/>
          <w:rFonts w:ascii="Arial" w:hAnsi="Arial"/>
          <w:sz w:val="24"/>
          <w:szCs w:val="24"/>
        </w:rPr>
        <w:t>á</w:t>
      </w:r>
      <w:r>
        <w:rPr>
          <w:rStyle w:val="Ninguno"/>
          <w:rFonts w:ascii="Arial" w:hAnsi="Arial"/>
          <w:sz w:val="24"/>
          <w:szCs w:val="24"/>
        </w:rPr>
        <w:t>s. Y al festejarlo, tambi</w:t>
      </w:r>
      <w:r>
        <w:rPr>
          <w:rStyle w:val="Ninguno"/>
          <w:rFonts w:ascii="Arial" w:hAnsi="Arial"/>
          <w:sz w:val="24"/>
          <w:szCs w:val="24"/>
        </w:rPr>
        <w:t>é</w:t>
      </w:r>
      <w:r>
        <w:rPr>
          <w:rStyle w:val="Ninguno"/>
          <w:rFonts w:ascii="Arial" w:hAnsi="Arial"/>
          <w:sz w:val="24"/>
          <w:szCs w:val="24"/>
        </w:rPr>
        <w:t>n se defiende su discurso anti-arm</w:t>
      </w:r>
      <w:r>
        <w:rPr>
          <w:rStyle w:val="Ninguno"/>
          <w:rFonts w:ascii="Arial" w:hAnsi="Arial"/>
          <w:sz w:val="24"/>
          <w:szCs w:val="24"/>
        </w:rPr>
        <w:t>amentista del que la cr</w:t>
      </w:r>
      <w:r>
        <w:rPr>
          <w:rStyle w:val="Ninguno"/>
          <w:rFonts w:ascii="Arial" w:hAnsi="Arial"/>
          <w:sz w:val="24"/>
          <w:szCs w:val="24"/>
        </w:rPr>
        <w:t>í</w:t>
      </w:r>
      <w:r>
        <w:rPr>
          <w:rStyle w:val="Ninguno"/>
          <w:rFonts w:ascii="Arial" w:hAnsi="Arial"/>
          <w:sz w:val="24"/>
          <w:szCs w:val="24"/>
        </w:rPr>
        <w:t xml:space="preserve">tica parece estar tan a favor, </w:t>
      </w:r>
      <w:bookmarkStart w:id="1" w:name="SinEmbargoSiguiendoLaSecuenciaLógicaDelM"/>
      <w:commentRangeStart w:id="2"/>
      <w:r>
        <w:rPr>
          <w:rStyle w:val="Ninguno"/>
          <w:rFonts w:ascii="Arial" w:hAnsi="Arial"/>
          <w:sz w:val="24"/>
          <w:szCs w:val="24"/>
        </w:rPr>
        <w:t>sin embargo, siguiendo la secuencia l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gica del mismo, la restricci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n en la venta de armas deber</w:t>
      </w:r>
      <w:r>
        <w:rPr>
          <w:rStyle w:val="Ninguno"/>
          <w:rFonts w:ascii="Arial" w:hAnsi="Arial"/>
          <w:sz w:val="24"/>
          <w:szCs w:val="24"/>
        </w:rPr>
        <w:t>í</w:t>
      </w:r>
      <w:r>
        <w:rPr>
          <w:rStyle w:val="Ninguno"/>
          <w:rFonts w:ascii="Arial" w:hAnsi="Arial"/>
          <w:sz w:val="24"/>
          <w:szCs w:val="24"/>
        </w:rPr>
        <w:t xml:space="preserve">a disminuir la violencia exponencialmente, </w:t>
      </w:r>
      <w:r>
        <w:rPr>
          <w:rStyle w:val="Ninguno"/>
          <w:rFonts w:ascii="Arial" w:hAnsi="Arial"/>
          <w:sz w:val="24"/>
          <w:szCs w:val="24"/>
        </w:rPr>
        <w:t>¿</w:t>
      </w:r>
      <w:r>
        <w:rPr>
          <w:rStyle w:val="Ninguno"/>
          <w:rFonts w:ascii="Arial" w:hAnsi="Arial"/>
          <w:sz w:val="24"/>
          <w:szCs w:val="24"/>
        </w:rPr>
        <w:t>por qu</w:t>
      </w:r>
      <w:r>
        <w:rPr>
          <w:rStyle w:val="Ninguno"/>
          <w:rFonts w:ascii="Arial" w:hAnsi="Arial"/>
          <w:sz w:val="24"/>
          <w:szCs w:val="24"/>
        </w:rPr>
        <w:t xml:space="preserve">é </w:t>
      </w:r>
      <w:r>
        <w:rPr>
          <w:rStyle w:val="Ninguno"/>
          <w:rFonts w:ascii="Arial" w:hAnsi="Arial"/>
          <w:sz w:val="24"/>
          <w:szCs w:val="24"/>
        </w:rPr>
        <w:t>no es as</w:t>
      </w:r>
      <w:r>
        <w:rPr>
          <w:rStyle w:val="Ninguno"/>
          <w:rFonts w:ascii="Arial" w:hAnsi="Arial"/>
          <w:sz w:val="24"/>
          <w:szCs w:val="24"/>
        </w:rPr>
        <w:t>í</w:t>
      </w:r>
      <w:r>
        <w:rPr>
          <w:rStyle w:val="Ninguno"/>
          <w:rFonts w:ascii="Arial" w:hAnsi="Arial"/>
          <w:sz w:val="24"/>
          <w:szCs w:val="24"/>
        </w:rPr>
        <w:t xml:space="preserve">? </w:t>
      </w:r>
      <w:bookmarkEnd w:id="1"/>
      <w:r>
        <w:rPr>
          <w:rStyle w:val="Ninguno"/>
          <w:rFonts w:ascii="Arial" w:eastAsia="Arial" w:hAnsi="Arial" w:cs="Arial"/>
          <w:sz w:val="24"/>
          <w:szCs w:val="24"/>
        </w:rPr>
        <w:br/>
      </w:r>
      <w:commentRangeEnd w:id="2"/>
      <w:r>
        <w:commentReference w:id="2"/>
      </w:r>
    </w:p>
    <w:p w14:paraId="7006D861" w14:textId="77777777" w:rsidR="004B7CE4" w:rsidRDefault="004B7CE4">
      <w:pPr>
        <w:pStyle w:val="Cuerpo"/>
        <w:spacing w:line="360" w:lineRule="auto"/>
        <w:rPr>
          <w:rStyle w:val="Ninguno"/>
          <w:rFonts w:ascii="Arial" w:eastAsia="Arial" w:hAnsi="Arial" w:cs="Arial"/>
          <w:sz w:val="24"/>
          <w:szCs w:val="24"/>
        </w:rPr>
      </w:pPr>
    </w:p>
    <w:p w14:paraId="51A7E4AB" w14:textId="77777777" w:rsidR="004B7CE4" w:rsidRDefault="00433AC8">
      <w:pPr>
        <w:pStyle w:val="Cuerpo"/>
        <w:spacing w:line="360" w:lineRule="auto"/>
        <w:rPr>
          <w:rStyle w:val="Ninguno"/>
          <w:rFonts w:ascii="Arial" w:eastAsia="Arial" w:hAnsi="Arial" w:cs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</w:rPr>
        <w:t>En un trabajo de investigaci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 xml:space="preserve">n, las </w:t>
      </w:r>
      <w:r>
        <w:rPr>
          <w:rStyle w:val="Ninguno"/>
          <w:rFonts w:ascii="Arial" w:hAnsi="Arial"/>
          <w:sz w:val="24"/>
          <w:szCs w:val="24"/>
        </w:rPr>
        <w:t>entrevistas y experimentos nos permiten comprobar una tesis o rechazarla. Para ello, se debe de seguir una serie de normativas que garantizan la validez y objetividad de los estudios. En el documental, Michael Moore incluye entrevistas con preguntas muy es</w:t>
      </w:r>
      <w:r>
        <w:rPr>
          <w:rStyle w:val="Ninguno"/>
          <w:rFonts w:ascii="Arial" w:hAnsi="Arial"/>
          <w:sz w:val="24"/>
          <w:szCs w:val="24"/>
        </w:rPr>
        <w:t>pec</w:t>
      </w:r>
      <w:r>
        <w:rPr>
          <w:rStyle w:val="Ninguno"/>
          <w:rFonts w:ascii="Arial" w:hAnsi="Arial"/>
          <w:sz w:val="24"/>
          <w:szCs w:val="24"/>
        </w:rPr>
        <w:t>í</w:t>
      </w:r>
      <w:r>
        <w:rPr>
          <w:rStyle w:val="Ninguno"/>
          <w:rFonts w:ascii="Arial" w:hAnsi="Arial"/>
          <w:sz w:val="24"/>
          <w:szCs w:val="24"/>
        </w:rPr>
        <w:t>ficas a las que les corresponden tambi</w:t>
      </w:r>
      <w:r>
        <w:rPr>
          <w:rStyle w:val="Ninguno"/>
          <w:rFonts w:ascii="Arial" w:hAnsi="Arial"/>
          <w:sz w:val="24"/>
          <w:szCs w:val="24"/>
        </w:rPr>
        <w:t>é</w:t>
      </w:r>
      <w:r>
        <w:rPr>
          <w:rStyle w:val="Ninguno"/>
          <w:rFonts w:ascii="Arial" w:hAnsi="Arial"/>
          <w:sz w:val="24"/>
          <w:szCs w:val="24"/>
        </w:rPr>
        <w:t>n respuestas espec</w:t>
      </w:r>
      <w:r>
        <w:rPr>
          <w:rStyle w:val="Ninguno"/>
          <w:rFonts w:ascii="Arial" w:hAnsi="Arial"/>
          <w:sz w:val="24"/>
          <w:szCs w:val="24"/>
        </w:rPr>
        <w:t>í</w:t>
      </w:r>
      <w:r>
        <w:rPr>
          <w:rStyle w:val="Ninguno"/>
          <w:rFonts w:ascii="Arial" w:hAnsi="Arial"/>
          <w:sz w:val="24"/>
          <w:szCs w:val="24"/>
        </w:rPr>
        <w:t>ficas convenientes para el documental y su margen de conclusiones. En adici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n, utiliza un tono agresivo y tendencioso para recibir el mismo tipo de respuestas de los entrevistados a favor de las</w:t>
      </w:r>
      <w:r>
        <w:rPr>
          <w:rStyle w:val="Ninguno"/>
          <w:rFonts w:ascii="Arial" w:hAnsi="Arial"/>
          <w:sz w:val="24"/>
          <w:szCs w:val="24"/>
        </w:rPr>
        <w:t xml:space="preserve"> armas, o sutil y emp</w:t>
      </w:r>
      <w:r>
        <w:rPr>
          <w:rStyle w:val="Ninguno"/>
          <w:rFonts w:ascii="Arial" w:hAnsi="Arial"/>
          <w:sz w:val="24"/>
          <w:szCs w:val="24"/>
        </w:rPr>
        <w:t>á</w:t>
      </w:r>
      <w:r>
        <w:rPr>
          <w:rStyle w:val="Ninguno"/>
          <w:rFonts w:ascii="Arial" w:hAnsi="Arial"/>
          <w:sz w:val="24"/>
          <w:szCs w:val="24"/>
        </w:rPr>
        <w:t>tico para referirse a las v</w:t>
      </w:r>
      <w:r>
        <w:rPr>
          <w:rStyle w:val="Ninguno"/>
          <w:rFonts w:ascii="Arial" w:hAnsi="Arial"/>
          <w:sz w:val="24"/>
          <w:szCs w:val="24"/>
        </w:rPr>
        <w:t>í</w:t>
      </w:r>
      <w:r>
        <w:rPr>
          <w:rStyle w:val="Ninguno"/>
          <w:rFonts w:ascii="Arial" w:hAnsi="Arial"/>
          <w:sz w:val="24"/>
          <w:szCs w:val="24"/>
        </w:rPr>
        <w:t>ctimas o a sus familiares. La objetividad y validez permanecen es un estado ambivalente.</w:t>
      </w:r>
    </w:p>
    <w:p w14:paraId="30FC4F76" w14:textId="77777777" w:rsidR="004B7CE4" w:rsidRDefault="004B7CE4">
      <w:pPr>
        <w:pStyle w:val="Cuerpo"/>
        <w:spacing w:line="360" w:lineRule="auto"/>
        <w:rPr>
          <w:rStyle w:val="Ninguno"/>
          <w:rFonts w:ascii="Arial" w:eastAsia="Arial" w:hAnsi="Arial" w:cs="Arial"/>
          <w:sz w:val="24"/>
          <w:szCs w:val="24"/>
        </w:rPr>
      </w:pPr>
    </w:p>
    <w:p w14:paraId="5A812574" w14:textId="77777777" w:rsidR="004B7CE4" w:rsidRDefault="00433AC8">
      <w:pPr>
        <w:pStyle w:val="Cuerpo"/>
        <w:spacing w:line="360" w:lineRule="auto"/>
        <w:rPr>
          <w:rStyle w:val="Ninguno"/>
          <w:rFonts w:ascii="Arial" w:eastAsia="Arial" w:hAnsi="Arial" w:cs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</w:rPr>
        <w:t>Por el otro lado, su objetivo principal tampoco es claro para el observador. Existe una recurrente contradicci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n con</w:t>
      </w:r>
      <w:r>
        <w:rPr>
          <w:rStyle w:val="Ninguno"/>
          <w:rFonts w:ascii="Arial" w:hAnsi="Arial"/>
          <w:sz w:val="24"/>
          <w:szCs w:val="24"/>
        </w:rPr>
        <w:t xml:space="preserve"> algunas de sus ideas. Es as</w:t>
      </w:r>
      <w:r>
        <w:rPr>
          <w:rStyle w:val="Ninguno"/>
          <w:rFonts w:ascii="Arial" w:hAnsi="Arial"/>
          <w:sz w:val="24"/>
          <w:szCs w:val="24"/>
        </w:rPr>
        <w:t xml:space="preserve">í </w:t>
      </w:r>
      <w:r>
        <w:rPr>
          <w:rStyle w:val="Ninguno"/>
          <w:rFonts w:ascii="Arial" w:hAnsi="Arial"/>
          <w:sz w:val="24"/>
          <w:szCs w:val="24"/>
        </w:rPr>
        <w:t>como, primero intenta erradicar la idea de que la historia afecta la percepci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n cultural sobre la compra y el uso de las armas, exponiendo, por ejemplo, el caso de Alemania. No obstante, hace un peque</w:t>
      </w:r>
      <w:r>
        <w:rPr>
          <w:rStyle w:val="Ninguno"/>
          <w:rFonts w:ascii="Arial" w:hAnsi="Arial"/>
          <w:sz w:val="24"/>
          <w:szCs w:val="24"/>
        </w:rPr>
        <w:t>ñ</w:t>
      </w:r>
      <w:r>
        <w:rPr>
          <w:rStyle w:val="Ninguno"/>
          <w:rFonts w:ascii="Arial" w:hAnsi="Arial"/>
          <w:sz w:val="24"/>
          <w:szCs w:val="24"/>
        </w:rPr>
        <w:t>o apartado sobre la histo</w:t>
      </w:r>
      <w:r>
        <w:rPr>
          <w:rStyle w:val="Ninguno"/>
          <w:rFonts w:ascii="Arial" w:hAnsi="Arial"/>
          <w:sz w:val="24"/>
          <w:szCs w:val="24"/>
        </w:rPr>
        <w:t>ria de Estados Unidos y c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mo existe una necesidad entre el pueblo estadounidense de protegerse contra el miedo de ser atacados. M</w:t>
      </w:r>
      <w:r>
        <w:rPr>
          <w:rStyle w:val="Ninguno"/>
          <w:rFonts w:ascii="Arial" w:hAnsi="Arial"/>
          <w:sz w:val="24"/>
          <w:szCs w:val="24"/>
        </w:rPr>
        <w:t>á</w:t>
      </w:r>
      <w:r>
        <w:rPr>
          <w:rStyle w:val="Ninguno"/>
          <w:rFonts w:ascii="Arial" w:hAnsi="Arial"/>
          <w:sz w:val="24"/>
          <w:szCs w:val="24"/>
        </w:rPr>
        <w:t xml:space="preserve">s </w:t>
      </w:r>
      <w:r>
        <w:rPr>
          <w:rStyle w:val="Ninguno"/>
          <w:rFonts w:ascii="Arial" w:hAnsi="Arial"/>
          <w:sz w:val="24"/>
          <w:szCs w:val="24"/>
        </w:rPr>
        <w:lastRenderedPageBreak/>
        <w:t xml:space="preserve">tarde, aparece la entrevista al director de la NRA, que cuando menciona la Segunda Enmienda, es bruscamente interrumpido. </w:t>
      </w:r>
    </w:p>
    <w:p w14:paraId="2786A6D6" w14:textId="77777777" w:rsidR="004B7CE4" w:rsidRDefault="004B7CE4">
      <w:pPr>
        <w:pStyle w:val="Cuerpo"/>
        <w:spacing w:line="360" w:lineRule="auto"/>
        <w:rPr>
          <w:rStyle w:val="Ninguno"/>
          <w:rFonts w:ascii="Arial" w:eastAsia="Arial" w:hAnsi="Arial" w:cs="Arial"/>
          <w:sz w:val="24"/>
          <w:szCs w:val="24"/>
        </w:rPr>
      </w:pPr>
    </w:p>
    <w:p w14:paraId="73BB3575" w14:textId="77777777" w:rsidR="004B7CE4" w:rsidRDefault="00433AC8">
      <w:pPr>
        <w:pStyle w:val="Predeterminado"/>
        <w:spacing w:line="360" w:lineRule="auto"/>
        <w:rPr>
          <w:rStyle w:val="Ninguno"/>
          <w:rFonts w:ascii="Arial" w:eastAsia="Arial" w:hAnsi="Arial" w:cs="Arial"/>
          <w:color w:val="3B3F43"/>
          <w:sz w:val="24"/>
          <w:szCs w:val="24"/>
          <w:shd w:val="clear" w:color="auto" w:fill="FEFFFE"/>
        </w:rPr>
      </w:pPr>
      <w:r w:rsidRPr="004B5DC4">
        <w:rPr>
          <w:rStyle w:val="Ninguno"/>
          <w:rFonts w:ascii="Arial" w:hAnsi="Arial"/>
          <w:color w:val="3B3F43"/>
          <w:sz w:val="24"/>
          <w:szCs w:val="24"/>
          <w:shd w:val="clear" w:color="auto" w:fill="FEFFFE"/>
          <w:lang w:val="en-US"/>
        </w:rPr>
        <w:t xml:space="preserve">"A well regulated Militia, being necessary to the security of a free State, the right of the people to keep and bear Arms, shall not be infringed." 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Second amendments</w:t>
      </w:r>
    </w:p>
    <w:p w14:paraId="6FFEC1E9" w14:textId="77777777" w:rsidR="004B7CE4" w:rsidRDefault="004B7CE4">
      <w:pPr>
        <w:pStyle w:val="Predeterminado"/>
        <w:spacing w:line="360" w:lineRule="auto"/>
        <w:rPr>
          <w:rStyle w:val="Ninguno"/>
          <w:rFonts w:ascii="Arial" w:eastAsia="Arial" w:hAnsi="Arial" w:cs="Arial"/>
          <w:color w:val="3B3F43"/>
          <w:sz w:val="24"/>
          <w:szCs w:val="24"/>
          <w:shd w:val="clear" w:color="auto" w:fill="FEFFFE"/>
        </w:rPr>
      </w:pPr>
    </w:p>
    <w:p w14:paraId="1B6203F4" w14:textId="77777777" w:rsidR="004B7CE4" w:rsidRDefault="00433AC8">
      <w:pPr>
        <w:pStyle w:val="Predeterminado"/>
        <w:spacing w:line="360" w:lineRule="auto"/>
        <w:rPr>
          <w:rStyle w:val="Ninguno"/>
          <w:rFonts w:ascii="Arial" w:eastAsia="Arial" w:hAnsi="Arial" w:cs="Arial"/>
          <w:color w:val="3B3F43"/>
          <w:sz w:val="24"/>
          <w:szCs w:val="24"/>
          <w:shd w:val="clear" w:color="auto" w:fill="FEFFFE"/>
        </w:rPr>
      </w:pP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Por el contrario, Moore muestra datos vitales para la comprensi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ó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 xml:space="preserve">n de una cultura de violencia. 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É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l menciona que mientras Bush lamentaba la muerte de las v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í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ctimas de Columbine, hac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í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a un ataque en Kosovo con numerosas muertes. Es mundialmente conocido que Estados ha sido part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í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cipe de numerosas guerras que inflan su econom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í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 xml:space="preserve">a, existe un claro de ejemplo  de un mensaje violento y desesperanzador. Sin embargo, deciden culpar a Marilyn Manson de un 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“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mal ejemplo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”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. Esta forma de presentar los datos c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í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nicamente le da una din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>á</w:t>
      </w:r>
      <w:r>
        <w:rPr>
          <w:rStyle w:val="Ninguno"/>
          <w:rFonts w:ascii="Arial" w:hAnsi="Arial"/>
          <w:color w:val="3B3F43"/>
          <w:sz w:val="24"/>
          <w:szCs w:val="24"/>
          <w:shd w:val="clear" w:color="auto" w:fill="FEFFFE"/>
        </w:rPr>
        <w:t xml:space="preserve">mica entretenida al documental. </w:t>
      </w:r>
    </w:p>
    <w:p w14:paraId="1A3E684E" w14:textId="77777777" w:rsidR="004B7CE4" w:rsidRDefault="004B7CE4">
      <w:pPr>
        <w:pStyle w:val="Cuerpo"/>
        <w:rPr>
          <w:rStyle w:val="Ninguno"/>
          <w:rFonts w:ascii="Arial" w:eastAsia="Arial" w:hAnsi="Arial" w:cs="Arial"/>
          <w:sz w:val="24"/>
          <w:szCs w:val="24"/>
        </w:rPr>
      </w:pPr>
    </w:p>
    <w:p w14:paraId="673448CF" w14:textId="77777777" w:rsidR="004B7CE4" w:rsidRDefault="00433AC8">
      <w:pPr>
        <w:pStyle w:val="Cuerpo"/>
        <w:spacing w:line="360" w:lineRule="auto"/>
        <w:rPr>
          <w:rStyle w:val="Ninguno"/>
          <w:rFonts w:ascii="Arial" w:eastAsia="Arial" w:hAnsi="Arial" w:cs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</w:rPr>
        <w:t>Michael Moore, es, sin</w:t>
      </w:r>
      <w:r>
        <w:rPr>
          <w:rStyle w:val="Ninguno"/>
          <w:rFonts w:ascii="Arial" w:hAnsi="Arial"/>
          <w:sz w:val="24"/>
          <w:szCs w:val="24"/>
        </w:rPr>
        <w:t xml:space="preserve"> lugar a dudas, muy convincente. Durante el documental,  expone sutilmente un trasfondo racista que acompa</w:t>
      </w:r>
      <w:r>
        <w:rPr>
          <w:rStyle w:val="Ninguno"/>
          <w:rFonts w:ascii="Arial" w:hAnsi="Arial"/>
          <w:sz w:val="24"/>
          <w:szCs w:val="24"/>
        </w:rPr>
        <w:t>ñ</w:t>
      </w:r>
      <w:r>
        <w:rPr>
          <w:rStyle w:val="Ninguno"/>
          <w:rFonts w:ascii="Arial" w:hAnsi="Arial"/>
          <w:sz w:val="24"/>
          <w:szCs w:val="24"/>
        </w:rPr>
        <w:t>a el uso de las armas y que no ser</w:t>
      </w:r>
      <w:r>
        <w:rPr>
          <w:rStyle w:val="Ninguno"/>
          <w:rFonts w:ascii="Arial" w:hAnsi="Arial"/>
          <w:sz w:val="24"/>
          <w:szCs w:val="24"/>
        </w:rPr>
        <w:t>í</w:t>
      </w:r>
      <w:r>
        <w:rPr>
          <w:rStyle w:val="Ninguno"/>
          <w:rFonts w:ascii="Arial" w:hAnsi="Arial"/>
          <w:sz w:val="24"/>
          <w:szCs w:val="24"/>
        </w:rPr>
        <w:t>a evidente a simple vista. Uno de los temas principales en la entrevista es la suposici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n de que la diversidad rac</w:t>
      </w:r>
      <w:r>
        <w:rPr>
          <w:rStyle w:val="Ninguno"/>
          <w:rFonts w:ascii="Arial" w:hAnsi="Arial"/>
          <w:sz w:val="24"/>
          <w:szCs w:val="24"/>
        </w:rPr>
        <w:t>ial conlleva violencia. Es decir, que no ser blanco implica ser un criminal.  Pero desafortunadamente, existen datos donde se ha registrado que las comunidades negras, al ser hist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ricamente relegadas y discriminadas, son m</w:t>
      </w:r>
      <w:r>
        <w:rPr>
          <w:rStyle w:val="Ninguno"/>
          <w:rFonts w:ascii="Arial" w:hAnsi="Arial"/>
          <w:sz w:val="24"/>
          <w:szCs w:val="24"/>
        </w:rPr>
        <w:t>á</w:t>
      </w:r>
      <w:r>
        <w:rPr>
          <w:rStyle w:val="Ninguno"/>
          <w:rFonts w:ascii="Arial" w:hAnsi="Arial"/>
          <w:sz w:val="24"/>
          <w:szCs w:val="24"/>
        </w:rPr>
        <w:t>s pobres y m</w:t>
      </w:r>
      <w:r>
        <w:rPr>
          <w:rStyle w:val="Ninguno"/>
          <w:rFonts w:ascii="Arial" w:hAnsi="Arial"/>
          <w:sz w:val="24"/>
          <w:szCs w:val="24"/>
        </w:rPr>
        <w:t>á</w:t>
      </w:r>
      <w:r>
        <w:rPr>
          <w:rStyle w:val="Ninguno"/>
          <w:rFonts w:ascii="Arial" w:hAnsi="Arial"/>
          <w:sz w:val="24"/>
          <w:szCs w:val="24"/>
        </w:rPr>
        <w:t xml:space="preserve">s violentas (Braga, </w:t>
      </w:r>
      <w:r>
        <w:rPr>
          <w:rStyle w:val="Ninguno"/>
          <w:rFonts w:ascii="Arial" w:hAnsi="Arial"/>
          <w:sz w:val="24"/>
          <w:szCs w:val="24"/>
        </w:rPr>
        <w:t>et. al., 2015). La raza afroamericana es el grupo racial o etnico mas pobre de Estados Unidos, con una cifra de 27.4% (Economic Policy Institute, 2019). De esta manera, Michael Moore expone que los medios de comunicaci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n transmiten muchas m</w:t>
      </w:r>
      <w:r>
        <w:rPr>
          <w:rStyle w:val="Ninguno"/>
          <w:rFonts w:ascii="Arial" w:hAnsi="Arial"/>
          <w:sz w:val="24"/>
          <w:szCs w:val="24"/>
        </w:rPr>
        <w:t>á</w:t>
      </w:r>
      <w:r>
        <w:rPr>
          <w:rStyle w:val="Ninguno"/>
          <w:rFonts w:ascii="Arial" w:hAnsi="Arial"/>
          <w:sz w:val="24"/>
          <w:szCs w:val="24"/>
        </w:rPr>
        <w:t>s noticias sobr</w:t>
      </w:r>
      <w:r>
        <w:rPr>
          <w:rStyle w:val="Ninguno"/>
          <w:rFonts w:ascii="Arial" w:hAnsi="Arial"/>
          <w:sz w:val="24"/>
          <w:szCs w:val="24"/>
        </w:rPr>
        <w:t>e criminales afroamericanos de manera tendenciosa, pero olvida que estas comunidades s</w:t>
      </w:r>
      <w:r>
        <w:rPr>
          <w:rStyle w:val="Ninguno"/>
          <w:rFonts w:ascii="Arial" w:hAnsi="Arial"/>
          <w:sz w:val="24"/>
          <w:szCs w:val="24"/>
        </w:rPr>
        <w:t xml:space="preserve">í </w:t>
      </w:r>
      <w:r>
        <w:rPr>
          <w:rStyle w:val="Ninguno"/>
          <w:rFonts w:ascii="Arial" w:hAnsi="Arial"/>
          <w:sz w:val="24"/>
          <w:szCs w:val="24"/>
        </w:rPr>
        <w:t xml:space="preserve">sufren de mucha violencia, no por haber nacido afroamericanos, sino por haber nacido afroamericanos en Estados Unidos. </w:t>
      </w:r>
    </w:p>
    <w:p w14:paraId="5BDA0A2F" w14:textId="77777777" w:rsidR="004B7CE4" w:rsidRDefault="004B7CE4">
      <w:pPr>
        <w:pStyle w:val="Cuerpo"/>
        <w:spacing w:line="360" w:lineRule="auto"/>
        <w:rPr>
          <w:rStyle w:val="Ninguno"/>
          <w:rFonts w:ascii="Arial" w:eastAsia="Arial" w:hAnsi="Arial" w:cs="Arial"/>
          <w:sz w:val="24"/>
          <w:szCs w:val="24"/>
        </w:rPr>
      </w:pPr>
    </w:p>
    <w:p w14:paraId="56C596DF" w14:textId="77777777" w:rsidR="004B7CE4" w:rsidRDefault="00433AC8">
      <w:pPr>
        <w:pStyle w:val="Cuerpo"/>
        <w:spacing w:line="360" w:lineRule="auto"/>
        <w:rPr>
          <w:rStyle w:val="Ninguno"/>
          <w:rFonts w:ascii="Arial" w:eastAsia="Arial" w:hAnsi="Arial" w:cs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</w:rPr>
        <w:t>El protagonista incluye escenas con carga emoci</w:t>
      </w:r>
      <w:r>
        <w:rPr>
          <w:rStyle w:val="Ninguno"/>
          <w:rFonts w:ascii="Arial" w:hAnsi="Arial"/>
          <w:sz w:val="24"/>
          <w:szCs w:val="24"/>
        </w:rPr>
        <w:t>onal, como los ex estudiantes de Columbine yendo a las oficinas de K-Mart a pedir que no vendan m</w:t>
      </w:r>
      <w:r>
        <w:rPr>
          <w:rStyle w:val="Ninguno"/>
          <w:rFonts w:ascii="Arial" w:hAnsi="Arial"/>
          <w:sz w:val="24"/>
          <w:szCs w:val="24"/>
        </w:rPr>
        <w:t>á</w:t>
      </w:r>
      <w:r>
        <w:rPr>
          <w:rStyle w:val="Ninguno"/>
          <w:rFonts w:ascii="Arial" w:hAnsi="Arial"/>
          <w:sz w:val="24"/>
          <w:szCs w:val="24"/>
        </w:rPr>
        <w:t>s armas. Pero este discurso es poco eficiente en la investigaci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n y desv</w:t>
      </w:r>
      <w:r>
        <w:rPr>
          <w:rStyle w:val="Ninguno"/>
          <w:rFonts w:ascii="Arial" w:hAnsi="Arial"/>
          <w:sz w:val="24"/>
          <w:szCs w:val="24"/>
        </w:rPr>
        <w:t>í</w:t>
      </w:r>
      <w:r>
        <w:rPr>
          <w:rStyle w:val="Ninguno"/>
          <w:rFonts w:ascii="Arial" w:hAnsi="Arial"/>
          <w:sz w:val="24"/>
          <w:szCs w:val="24"/>
        </w:rPr>
        <w:t>a la atenci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n de una yuxtaposici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 xml:space="preserve">n </w:t>
      </w:r>
      <w:r>
        <w:rPr>
          <w:rStyle w:val="Ninguno"/>
          <w:rFonts w:ascii="Arial" w:hAnsi="Arial"/>
          <w:sz w:val="24"/>
          <w:szCs w:val="24"/>
        </w:rPr>
        <w:lastRenderedPageBreak/>
        <w:t>de propuestas adversas. Por un lado, Moore defiend</w:t>
      </w:r>
      <w:r>
        <w:rPr>
          <w:rStyle w:val="Ninguno"/>
          <w:rFonts w:ascii="Arial" w:hAnsi="Arial"/>
          <w:sz w:val="24"/>
          <w:szCs w:val="24"/>
        </w:rPr>
        <w:t>e que la venta de armas no tiene una relaci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n directa con la violencia, es tal el caso de Canad</w:t>
      </w:r>
      <w:r>
        <w:rPr>
          <w:rStyle w:val="Ninguno"/>
          <w:rFonts w:ascii="Arial" w:hAnsi="Arial"/>
          <w:sz w:val="24"/>
          <w:szCs w:val="24"/>
        </w:rPr>
        <w:t>á</w:t>
      </w:r>
      <w:r>
        <w:rPr>
          <w:rStyle w:val="Ninguno"/>
          <w:rFonts w:ascii="Arial" w:hAnsi="Arial"/>
          <w:sz w:val="24"/>
          <w:szCs w:val="24"/>
        </w:rPr>
        <w:t>, sin embargo pide que no se vendan m</w:t>
      </w:r>
      <w:r>
        <w:rPr>
          <w:rStyle w:val="Ninguno"/>
          <w:rFonts w:ascii="Arial" w:hAnsi="Arial"/>
          <w:sz w:val="24"/>
          <w:szCs w:val="24"/>
        </w:rPr>
        <w:t>á</w:t>
      </w:r>
      <w:r>
        <w:rPr>
          <w:rStyle w:val="Ninguno"/>
          <w:rFonts w:ascii="Arial" w:hAnsi="Arial"/>
          <w:sz w:val="24"/>
          <w:szCs w:val="24"/>
        </w:rPr>
        <w:t>s armas en una tienda local, lo cual no tiene resultados observables para la investigaci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 xml:space="preserve">n y contradice la idea de que el </w:t>
      </w:r>
      <w:r>
        <w:rPr>
          <w:rStyle w:val="Ninguno"/>
          <w:rFonts w:ascii="Arial" w:hAnsi="Arial"/>
          <w:sz w:val="24"/>
          <w:szCs w:val="24"/>
        </w:rPr>
        <w:t>problema es lo que algunos llaman: la teor</w:t>
      </w:r>
      <w:r>
        <w:rPr>
          <w:rStyle w:val="Ninguno"/>
          <w:rFonts w:ascii="Arial" w:hAnsi="Arial"/>
          <w:sz w:val="24"/>
          <w:szCs w:val="24"/>
        </w:rPr>
        <w:t>í</w:t>
      </w:r>
      <w:r>
        <w:rPr>
          <w:rStyle w:val="Ninguno"/>
          <w:rFonts w:ascii="Arial" w:hAnsi="Arial"/>
          <w:sz w:val="24"/>
          <w:szCs w:val="24"/>
        </w:rPr>
        <w:t xml:space="preserve">a del miedo.  </w:t>
      </w:r>
    </w:p>
    <w:p w14:paraId="7539D521" w14:textId="77777777" w:rsidR="004B7CE4" w:rsidRDefault="004B7CE4">
      <w:pPr>
        <w:pStyle w:val="Cuerpo"/>
        <w:spacing w:line="360" w:lineRule="auto"/>
        <w:rPr>
          <w:rStyle w:val="Ninguno"/>
          <w:rFonts w:ascii="Arial" w:eastAsia="Arial" w:hAnsi="Arial" w:cs="Arial"/>
          <w:sz w:val="24"/>
          <w:szCs w:val="24"/>
        </w:rPr>
      </w:pPr>
    </w:p>
    <w:p w14:paraId="46B25750" w14:textId="77777777" w:rsidR="004B7CE4" w:rsidRDefault="00433AC8">
      <w:pPr>
        <w:pStyle w:val="Cuerpo"/>
        <w:spacing w:line="360" w:lineRule="auto"/>
        <w:rPr>
          <w:rStyle w:val="Ninguno"/>
          <w:rFonts w:ascii="Arial" w:eastAsia="Arial" w:hAnsi="Arial" w:cs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</w:rPr>
        <w:t>La teor</w:t>
      </w:r>
      <w:r>
        <w:rPr>
          <w:rStyle w:val="Ninguno"/>
          <w:rFonts w:ascii="Arial" w:hAnsi="Arial"/>
          <w:sz w:val="24"/>
          <w:szCs w:val="24"/>
        </w:rPr>
        <w:t>í</w:t>
      </w:r>
      <w:r>
        <w:rPr>
          <w:rStyle w:val="Ninguno"/>
          <w:rFonts w:ascii="Arial" w:hAnsi="Arial"/>
          <w:sz w:val="24"/>
          <w:szCs w:val="24"/>
        </w:rPr>
        <w:t>a del miedo presenta una base s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lida para la investigaci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 xml:space="preserve">n al incluir una entrevista donde </w:t>
      </w:r>
      <w:bookmarkStart w:id="3" w:name="SuAutor"/>
      <w:commentRangeStart w:id="4"/>
      <w:r>
        <w:rPr>
          <w:rStyle w:val="Ninguno"/>
          <w:rFonts w:ascii="Arial" w:hAnsi="Arial"/>
          <w:sz w:val="24"/>
          <w:szCs w:val="24"/>
        </w:rPr>
        <w:t>su autor</w:t>
      </w:r>
      <w:bookmarkEnd w:id="3"/>
      <w:commentRangeEnd w:id="4"/>
      <w:r>
        <w:commentReference w:id="4"/>
      </w:r>
      <w:r>
        <w:rPr>
          <w:rStyle w:val="Ninguno"/>
          <w:rFonts w:ascii="Arial" w:hAnsi="Arial"/>
          <w:sz w:val="24"/>
          <w:szCs w:val="24"/>
        </w:rPr>
        <w:t xml:space="preserve"> explica su significado e implicaciones. Es un gran acierto de Moore, y una idea global que promueve la reflexi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n en el observador. Adem</w:t>
      </w:r>
      <w:r>
        <w:rPr>
          <w:rStyle w:val="Ninguno"/>
          <w:rFonts w:ascii="Arial" w:hAnsi="Arial"/>
          <w:sz w:val="24"/>
          <w:szCs w:val="24"/>
        </w:rPr>
        <w:t>á</w:t>
      </w:r>
      <w:r>
        <w:rPr>
          <w:rStyle w:val="Ninguno"/>
          <w:rFonts w:ascii="Arial" w:hAnsi="Arial"/>
          <w:sz w:val="24"/>
          <w:szCs w:val="24"/>
        </w:rPr>
        <w:t>s, esta teor</w:t>
      </w:r>
      <w:r>
        <w:rPr>
          <w:rStyle w:val="Ninguno"/>
          <w:rFonts w:ascii="Arial" w:hAnsi="Arial"/>
          <w:sz w:val="24"/>
          <w:szCs w:val="24"/>
        </w:rPr>
        <w:t>í</w:t>
      </w:r>
      <w:r>
        <w:rPr>
          <w:rStyle w:val="Ninguno"/>
          <w:rFonts w:ascii="Arial" w:hAnsi="Arial"/>
          <w:sz w:val="24"/>
          <w:szCs w:val="24"/>
        </w:rPr>
        <w:t xml:space="preserve">a puede ser aplicada a un contexto global de desacuerdos violentos. </w:t>
      </w:r>
    </w:p>
    <w:p w14:paraId="42CC6982" w14:textId="77777777" w:rsidR="004B7CE4" w:rsidRDefault="004B7CE4">
      <w:pPr>
        <w:pStyle w:val="Cuerpo"/>
        <w:spacing w:line="360" w:lineRule="auto"/>
        <w:rPr>
          <w:rStyle w:val="Ninguno"/>
          <w:rFonts w:ascii="Arial" w:eastAsia="Arial" w:hAnsi="Arial" w:cs="Arial"/>
          <w:sz w:val="24"/>
          <w:szCs w:val="24"/>
        </w:rPr>
      </w:pPr>
    </w:p>
    <w:p w14:paraId="36F88B13" w14:textId="77777777" w:rsidR="004B7CE4" w:rsidRDefault="00433AC8">
      <w:pPr>
        <w:pStyle w:val="Cuerpo"/>
        <w:spacing w:line="360" w:lineRule="auto"/>
        <w:rPr>
          <w:rStyle w:val="Ninguno"/>
          <w:rFonts w:ascii="Arial" w:eastAsia="Arial" w:hAnsi="Arial" w:cs="Arial"/>
          <w:sz w:val="24"/>
          <w:szCs w:val="24"/>
        </w:rPr>
      </w:pPr>
      <w:r>
        <w:rPr>
          <w:rStyle w:val="Ninguno"/>
          <w:rFonts w:ascii="Arial" w:hAnsi="Arial"/>
          <w:sz w:val="24"/>
          <w:szCs w:val="24"/>
        </w:rPr>
        <w:t>El documental, como podemos concluir</w:t>
      </w:r>
      <w:r>
        <w:rPr>
          <w:rStyle w:val="Ninguno"/>
          <w:rFonts w:ascii="Arial" w:hAnsi="Arial"/>
          <w:sz w:val="24"/>
          <w:szCs w:val="24"/>
        </w:rPr>
        <w:t>, no es muy riguroso experimentalmente, sin embargo, propone datos rescatables. Adem</w:t>
      </w:r>
      <w:r>
        <w:rPr>
          <w:rStyle w:val="Ninguno"/>
          <w:rFonts w:ascii="Arial" w:hAnsi="Arial"/>
          <w:sz w:val="24"/>
          <w:szCs w:val="24"/>
        </w:rPr>
        <w:t>á</w:t>
      </w:r>
      <w:r>
        <w:rPr>
          <w:rStyle w:val="Ninguno"/>
          <w:rFonts w:ascii="Arial" w:hAnsi="Arial"/>
          <w:sz w:val="24"/>
          <w:szCs w:val="24"/>
        </w:rPr>
        <w:t>s, no puede negarse la importancia del documental, pues es un tema en el siglo XXI que nos concierne a todos. Sin duda, Michael Moore cre</w:t>
      </w:r>
      <w:r>
        <w:rPr>
          <w:rStyle w:val="Ninguno"/>
          <w:rFonts w:ascii="Arial" w:hAnsi="Arial"/>
          <w:sz w:val="24"/>
          <w:szCs w:val="24"/>
        </w:rPr>
        <w:t xml:space="preserve">ó </w:t>
      </w:r>
      <w:r>
        <w:rPr>
          <w:rStyle w:val="Ninguno"/>
          <w:rFonts w:ascii="Arial" w:hAnsi="Arial"/>
          <w:sz w:val="24"/>
          <w:szCs w:val="24"/>
        </w:rPr>
        <w:t>un espacio para una discusi</w:t>
      </w:r>
      <w:r>
        <w:rPr>
          <w:rStyle w:val="Ninguno"/>
          <w:rFonts w:ascii="Arial" w:hAnsi="Arial"/>
          <w:sz w:val="24"/>
          <w:szCs w:val="24"/>
        </w:rPr>
        <w:t>ó</w:t>
      </w:r>
      <w:r>
        <w:rPr>
          <w:rStyle w:val="Ninguno"/>
          <w:rFonts w:ascii="Arial" w:hAnsi="Arial"/>
          <w:sz w:val="24"/>
          <w:szCs w:val="24"/>
        </w:rPr>
        <w:t>n ta</w:t>
      </w:r>
      <w:r>
        <w:rPr>
          <w:rStyle w:val="Ninguno"/>
          <w:rFonts w:ascii="Arial" w:hAnsi="Arial"/>
          <w:sz w:val="24"/>
          <w:szCs w:val="24"/>
        </w:rPr>
        <w:t xml:space="preserve">n necesaria sobre el tema, esto lo hace con un estilo atractivo y accesible, finalmente, </w:t>
      </w:r>
      <w:r>
        <w:rPr>
          <w:rStyle w:val="Ninguno"/>
          <w:rFonts w:ascii="Arial" w:hAnsi="Arial"/>
          <w:sz w:val="24"/>
          <w:szCs w:val="24"/>
        </w:rPr>
        <w:t>¿</w:t>
      </w:r>
      <w:r>
        <w:rPr>
          <w:rStyle w:val="Ninguno"/>
          <w:rFonts w:ascii="Arial" w:hAnsi="Arial"/>
          <w:sz w:val="24"/>
          <w:szCs w:val="24"/>
        </w:rPr>
        <w:t>qu</w:t>
      </w:r>
      <w:r>
        <w:rPr>
          <w:rStyle w:val="Ninguno"/>
          <w:rFonts w:ascii="Arial" w:hAnsi="Arial"/>
          <w:sz w:val="24"/>
          <w:szCs w:val="24"/>
        </w:rPr>
        <w:t xml:space="preserve">é </w:t>
      </w:r>
      <w:r>
        <w:rPr>
          <w:rStyle w:val="Ninguno"/>
          <w:rFonts w:ascii="Arial" w:hAnsi="Arial"/>
          <w:sz w:val="24"/>
          <w:szCs w:val="24"/>
        </w:rPr>
        <w:t>es el conocimiento si no es compartido?</w:t>
      </w:r>
    </w:p>
    <w:p w14:paraId="77FC327D" w14:textId="77777777" w:rsidR="004B7CE4" w:rsidRDefault="004B7CE4">
      <w:pPr>
        <w:pStyle w:val="Cuerpo"/>
        <w:rPr>
          <w:rStyle w:val="Ninguno"/>
          <w:rFonts w:ascii="Arial" w:eastAsia="Arial" w:hAnsi="Arial" w:cs="Arial"/>
          <w:sz w:val="24"/>
          <w:szCs w:val="24"/>
        </w:rPr>
      </w:pPr>
    </w:p>
    <w:p w14:paraId="2129D667" w14:textId="77777777" w:rsidR="004B7CE4" w:rsidRDefault="004B7CE4">
      <w:pPr>
        <w:pStyle w:val="Cuerpo"/>
        <w:rPr>
          <w:rStyle w:val="Ninguno"/>
          <w:rFonts w:ascii="Arial" w:eastAsia="Arial" w:hAnsi="Arial" w:cs="Arial"/>
          <w:sz w:val="24"/>
          <w:szCs w:val="24"/>
        </w:rPr>
      </w:pPr>
    </w:p>
    <w:p w14:paraId="5D1303F5" w14:textId="77777777" w:rsidR="004B7CE4" w:rsidRDefault="00433AC8">
      <w:pPr>
        <w:pStyle w:val="Cuerpo"/>
        <w:rPr>
          <w:rFonts w:hint="eastAsia"/>
        </w:rPr>
      </w:pPr>
      <w:r>
        <w:t>Bibliografía:</w:t>
      </w:r>
    </w:p>
    <w:p w14:paraId="3D8BC657" w14:textId="77777777" w:rsidR="004B7CE4" w:rsidRDefault="004B7CE4">
      <w:pPr>
        <w:pStyle w:val="Cuerpo"/>
        <w:rPr>
          <w:rFonts w:hint="eastAsia"/>
        </w:rPr>
      </w:pPr>
    </w:p>
    <w:tbl>
      <w:tblPr>
        <w:tblStyle w:val="TableNormal"/>
        <w:tblW w:w="4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000"/>
      </w:tblGrid>
      <w:tr w:rsidR="004B7CE4" w14:paraId="078026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6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160" w:type="dxa"/>
              <w:left w:w="0" w:type="dxa"/>
              <w:bottom w:w="160" w:type="dxa"/>
              <w:right w:w="0" w:type="dxa"/>
            </w:tcMar>
          </w:tcPr>
          <w:p w14:paraId="3644C682" w14:textId="77777777" w:rsidR="004B7CE4" w:rsidRDefault="00433AC8">
            <w:pPr>
              <w:pStyle w:val="Estilodetabla2"/>
            </w:pPr>
            <w:r>
              <w:rPr>
                <w:rFonts w:ascii="Arial" w:hAnsi="Arial"/>
                <w:color w:val="212121"/>
                <w:sz w:val="26"/>
                <w:szCs w:val="26"/>
                <w:shd w:val="clear" w:color="auto" w:fill="FEFFFE"/>
              </w:rPr>
              <w:t>Braga, A. A., &amp; Brunson, R. K. (2015). New Perspectives in Policing.</w:t>
            </w:r>
          </w:p>
        </w:tc>
      </w:tr>
      <w:tr w:rsidR="004B7CE4" w14:paraId="4096A53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/>
        </w:trPr>
        <w:tc>
          <w:tcPr>
            <w:tcW w:w="40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160" w:type="dxa"/>
              <w:left w:w="0" w:type="dxa"/>
              <w:bottom w:w="160" w:type="dxa"/>
              <w:right w:w="320" w:type="dxa"/>
            </w:tcMar>
          </w:tcPr>
          <w:p w14:paraId="5A63C558" w14:textId="77777777" w:rsidR="004B7CE4" w:rsidRDefault="00433AC8">
            <w:pPr>
              <w:pStyle w:val="Estilodetabla2"/>
            </w:pPr>
            <w:r>
              <w:rPr>
                <w:rFonts w:ascii="Arial" w:hAnsi="Arial"/>
                <w:color w:val="777777"/>
                <w:sz w:val="26"/>
                <w:szCs w:val="26"/>
                <w:shd w:val="clear" w:color="auto" w:fill="FEFFFE"/>
              </w:rPr>
              <w:t>ISO 690</w:t>
            </w:r>
          </w:p>
        </w:tc>
      </w:tr>
    </w:tbl>
    <w:p w14:paraId="6E4D56E4" w14:textId="77777777" w:rsidR="004B7CE4" w:rsidRDefault="004B7CE4">
      <w:pPr>
        <w:pStyle w:val="Predeterminado"/>
        <w:rPr>
          <w:rFonts w:ascii="Arial" w:eastAsia="Arial" w:hAnsi="Arial" w:cs="Arial"/>
          <w:color w:val="777777"/>
          <w:sz w:val="26"/>
          <w:szCs w:val="26"/>
          <w:shd w:val="clear" w:color="auto" w:fill="FEFFFE"/>
        </w:rPr>
      </w:pPr>
    </w:p>
    <w:p w14:paraId="280B6B35" w14:textId="77777777" w:rsidR="004B7CE4" w:rsidRDefault="004B7CE4">
      <w:pPr>
        <w:pStyle w:val="Predeterminado"/>
        <w:rPr>
          <w:rFonts w:ascii="Arial" w:eastAsia="Arial" w:hAnsi="Arial" w:cs="Arial"/>
          <w:color w:val="777777"/>
          <w:sz w:val="26"/>
          <w:szCs w:val="26"/>
          <w:shd w:val="clear" w:color="auto" w:fill="FEFFFE"/>
        </w:rPr>
      </w:pPr>
    </w:p>
    <w:p w14:paraId="591C85D4" w14:textId="77777777" w:rsidR="004B7CE4" w:rsidRDefault="004B7CE4">
      <w:pPr>
        <w:pStyle w:val="Cuerpo"/>
        <w:rPr>
          <w:rFonts w:hint="eastAsia"/>
        </w:rPr>
      </w:pPr>
    </w:p>
    <w:p w14:paraId="3646EAFC" w14:textId="77777777" w:rsidR="004B7CE4" w:rsidRPr="004B5DC4" w:rsidRDefault="00433AC8">
      <w:pPr>
        <w:pStyle w:val="Predeterminado"/>
        <w:rPr>
          <w:rFonts w:ascii="Times New Roman" w:eastAsia="Times New Roman" w:hAnsi="Times New Roman" w:cs="Times New Roman"/>
          <w:color w:val="323232"/>
          <w:sz w:val="32"/>
          <w:szCs w:val="32"/>
          <w:shd w:val="clear" w:color="auto" w:fill="FEFFFE"/>
          <w:lang w:val="en-US"/>
        </w:rPr>
      </w:pPr>
      <w:r w:rsidRPr="004B5DC4">
        <w:rPr>
          <w:rFonts w:ascii="Times New Roman" w:hAnsi="Times New Roman"/>
          <w:color w:val="323232"/>
          <w:sz w:val="32"/>
          <w:szCs w:val="32"/>
          <w:shd w:val="clear" w:color="auto" w:fill="FEFFFE"/>
          <w:lang w:val="en-US"/>
        </w:rPr>
        <w:t xml:space="preserve">E. (Ed.). (2015, May). Poverty. Retrieved May 2, 2019, from </w:t>
      </w:r>
      <w:hyperlink r:id="rId12" w:history="1">
        <w:r w:rsidRPr="004B5DC4">
          <w:rPr>
            <w:rStyle w:val="Enlace"/>
            <w:rFonts w:ascii="Times New Roman" w:hAnsi="Times New Roman"/>
            <w:color w:val="323232"/>
            <w:sz w:val="32"/>
            <w:szCs w:val="32"/>
            <w:shd w:val="clear" w:color="auto" w:fill="FEFFFE"/>
            <w:lang w:val="en-US"/>
          </w:rPr>
          <w:t>http://www.stateofworkingamerica.org/index.html?p=4193.html</w:t>
        </w:r>
      </w:hyperlink>
    </w:p>
    <w:p w14:paraId="59B19EA3" w14:textId="77777777" w:rsidR="004B7CE4" w:rsidRPr="004B5DC4" w:rsidRDefault="004B7CE4">
      <w:pPr>
        <w:pStyle w:val="Predeterminado"/>
        <w:rPr>
          <w:rFonts w:ascii="Times New Roman" w:eastAsia="Times New Roman" w:hAnsi="Times New Roman" w:cs="Times New Roman"/>
          <w:color w:val="323232"/>
          <w:sz w:val="32"/>
          <w:szCs w:val="32"/>
          <w:shd w:val="clear" w:color="auto" w:fill="FEFFFE"/>
          <w:lang w:val="en-US"/>
        </w:rPr>
      </w:pPr>
    </w:p>
    <w:p w14:paraId="0E1FABEF" w14:textId="77777777" w:rsidR="004B7CE4" w:rsidRPr="004B5DC4" w:rsidRDefault="004B7CE4">
      <w:pPr>
        <w:pStyle w:val="Predeterminado"/>
        <w:rPr>
          <w:rFonts w:ascii="Times New Roman" w:eastAsia="Times New Roman" w:hAnsi="Times New Roman" w:cs="Times New Roman"/>
          <w:color w:val="323232"/>
          <w:sz w:val="32"/>
          <w:szCs w:val="32"/>
          <w:shd w:val="clear" w:color="auto" w:fill="FEFFFE"/>
          <w:lang w:val="en-US"/>
        </w:rPr>
      </w:pPr>
    </w:p>
    <w:p w14:paraId="7013A5B2" w14:textId="77777777" w:rsidR="004B7CE4" w:rsidRPr="004B5DC4" w:rsidRDefault="004B7CE4">
      <w:pPr>
        <w:pStyle w:val="Predeterminado"/>
        <w:rPr>
          <w:lang w:val="en-US"/>
        </w:rPr>
      </w:pPr>
    </w:p>
    <w:sectPr w:rsidR="004B7CE4" w:rsidRPr="004B5DC4">
      <w:headerReference w:type="default" r:id="rId13"/>
      <w:footerReference w:type="default" r:id="rId14"/>
      <w:pgSz w:w="12240" w:h="15840"/>
      <w:pgMar w:top="1440" w:right="1440" w:bottom="1440" w:left="1440" w:header="720" w:footer="864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sabel De Larrañaga" w:date="2019-05-01T17:44:00Z" w:initials="">
    <w:p w14:paraId="750FD9FB" w14:textId="77777777" w:rsidR="004B7CE4" w:rsidRDefault="00433AC8">
      <w:pPr>
        <w:pStyle w:val="Predeterminado"/>
      </w:pPr>
      <w:r>
        <w:rPr>
          <w:rStyle w:val="Refdecomentario"/>
        </w:rPr>
        <w:annotationRef/>
      </w:r>
    </w:p>
  </w:comment>
  <w:comment w:id="4" w:author="Isabel De Larrañaga" w:date="2019-05-03T03:15:00Z" w:initials="">
    <w:p w14:paraId="7C2A5A55" w14:textId="77777777" w:rsidR="004B7CE4" w:rsidRDefault="00433AC8">
      <w:pPr>
        <w:pStyle w:val="Predeterminado"/>
      </w:pPr>
      <w:r>
        <w:rPr>
          <w:rStyle w:val="Refdecomenta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0FD9FB" w15:done="0"/>
  <w15:commentEx w15:paraId="7C2A5A5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E7ACF" w14:textId="77777777" w:rsidR="00433AC8" w:rsidRDefault="00433AC8">
      <w:r>
        <w:separator/>
      </w:r>
    </w:p>
  </w:endnote>
  <w:endnote w:type="continuationSeparator" w:id="0">
    <w:p w14:paraId="318DE433" w14:textId="77777777" w:rsidR="00433AC8" w:rsidRDefault="0043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02A44" w14:textId="77777777" w:rsidR="004B7CE4" w:rsidRDefault="004B7CE4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67959" w14:textId="77777777" w:rsidR="00433AC8" w:rsidRDefault="00433AC8">
      <w:r>
        <w:separator/>
      </w:r>
    </w:p>
  </w:footnote>
  <w:footnote w:type="continuationSeparator" w:id="0">
    <w:p w14:paraId="7C7B974A" w14:textId="77777777" w:rsidR="00433AC8" w:rsidRDefault="00433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A9683" w14:textId="77777777" w:rsidR="004B7CE4" w:rsidRDefault="004B7CE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E4"/>
    <w:rsid w:val="00433AC8"/>
    <w:rsid w:val="004B5DC4"/>
    <w:rsid w:val="004B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3C5D"/>
  <w15:docId w15:val="{03CEC6E7-505E-4021-BD71-CCFB2AA2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es-ES_tradnl"/>
    </w:rPr>
  </w:style>
  <w:style w:type="character" w:customStyle="1" w:styleId="Ninguno">
    <w:name w:val="Ninguno"/>
    <w:rPr>
      <w:lang w:val="es-ES_tradnl"/>
    </w:rPr>
  </w:style>
  <w:style w:type="character" w:customStyle="1" w:styleId="Enlace">
    <w:name w:val="Enlace"/>
    <w:rPr>
      <w:u w:val="single"/>
    </w:rPr>
  </w:style>
  <w:style w:type="character" w:customStyle="1" w:styleId="Hyperlink0">
    <w:name w:val="Hyperlink.0"/>
    <w:basedOn w:val="Enlace"/>
    <w:rPr>
      <w:rFonts w:ascii="Arial" w:eastAsia="Arial" w:hAnsi="Arial" w:cs="Arial"/>
      <w:sz w:val="24"/>
      <w:szCs w:val="24"/>
      <w:u w:val="none"/>
    </w:rPr>
  </w:style>
  <w:style w:type="paragraph" w:customStyle="1" w:styleId="Predeterminado">
    <w:name w:val="Predeterminado"/>
    <w:rPr>
      <w:rFonts w:ascii="Helvetica Neue" w:eastAsia="Helvetica Neue" w:hAnsi="Helvetica Neue" w:cs="Helvetica Neue"/>
      <w:color w:val="000000"/>
      <w:sz w:val="22"/>
      <w:szCs w:val="22"/>
    </w:rPr>
  </w:style>
  <w:style w:type="paragraph" w:customStyle="1" w:styleId="Estilodetabla2">
    <w:name w:val="Estilo de tabla 2"/>
    <w:rPr>
      <w:rFonts w:ascii="Helvetica Neue" w:eastAsia="Helvetica Neue" w:hAnsi="Helvetica Neue" w:cs="Helvetica Neue"/>
      <w:color w:val="00000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5DC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5DC4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client=mobilesearchapp&amp;rlz=1MDAPLA_esMX622MX622&amp;source=mobilesearchapp&amp;biw=768&amp;hl=es_419&amp;channel=iss&amp;v=72.0.243649956&amp;bih=1004&amp;q=Premio+WGA+al+Mejor+Gui%C3%B3n+Original&amp;stick=H4sIAAAAAAAAAOPgE-LUz9U3MDTKSktS4gIxjTNyzHKStWSzk630E8sTi1IgZHx5Zl5eapEVmFO8iFU5oCg1NzNfIdzdUSExR8E3NSu_SMG9NPPw5jwF_6LM9My8xBwAA5RA0l4AAAA&amp;sa=X&amp;ved=2ahUKEwjg8aOlrfvhAhVcJzQIHUCsCXAQmxMoAjAXegQICBBT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client=mobilesearchapp&amp;rlz=1MDAPLA_esMX622MX622&amp;source=mobilesearchapp&amp;biw=768&amp;hl=es_419&amp;channel=iss&amp;v=72.0.243649956&amp;bih=1004&amp;q=C%C3%A9sar+a+la+mejor+pel%C3%ADcula+extranjera&amp;stick=H4sIAAAAAAAAAOPgE-LUz9U3MDTKSktSAjON0oqKirRks5Ot9BPLE4tSIGR8eWZeXmqRFZhTvIhVzfnwyuLEIoVEhZxEhdzUrPwihYLUnMNrk0uB_NSKkqLEvKzUokQAOIFg12AAAAA&amp;sa=X&amp;ved=2ahUKEwjg8aOlrfvhAhVcJzQIHUCsCXAQmxMoATAXegQICBBS" TargetMode="External"/><Relationship Id="rId12" Type="http://schemas.openxmlformats.org/officeDocument/2006/relationships/hyperlink" Target="http://www.stateofworkingamerica.org/index.html?p=4193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client=mobilesearchapp&amp;rlz=1MDAPLA_esMX622MX622&amp;source=mobilesearchapp&amp;biw=768&amp;hl=es_419&amp;channel=iss&amp;v=72.0.243649956&amp;bih=1004&amp;q=Mejor+Documental+Largo&amp;stick=H4sIAAAAAAAAAOPgE-LUz9U3MDTKSktS4gAx08sq4rVks5Ot9BPLE4tSIGR8eWZeXmqRFZhTvIhVzDc1K79IwSU_uTQ3Na8kMUfBJ7EoPR8ALSa4PE8AAAA&amp;sa=X&amp;ved=2ahUKEwjg8aOlrfvhAhVcJzQIHUCsCXAQmxMoADAXegQICBBR" TargetMode="External"/><Relationship Id="rId11" Type="http://schemas.microsoft.com/office/2011/relationships/commentsExtended" Target="commentsExtended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footnotes" Target="footnotes.xml"/><Relationship Id="rId9" Type="http://schemas.openxmlformats.org/officeDocument/2006/relationships/hyperlink" Target="https://www.google.com/search?client=mobilesearchapp&amp;rlz=1MDAPLA_esMX622MX622&amp;source=mobilesearchapp&amp;biw=768&amp;hl=es_419&amp;channel=iss&amp;v=72.0.243649956&amp;bih=1004&amp;q=Independent+Spirit+Award+al+Mejor+Documental&amp;stick=H4sIAAAAAAAAAOPgE-LUz9U3MDTKSktS4gIxjSstkpPKtGSzk630E8sTi1IgZHx5Zl5eapEVmFO8iFXHMy8ltSAVSOSVKAQXZBZllig4guQUEnMUfFOz8osUXPKTS3OB0ok5ALL4A7FnAAAA&amp;sa=X&amp;ved=2ahUKEwjg8aOlrfvhAhVcJzQIHUCsCXAQmxMoAzAXegQICBB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1111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</dc:creator>
  <cp:lastModifiedBy>Alejandro</cp:lastModifiedBy>
  <cp:revision>2</cp:revision>
  <dcterms:created xsi:type="dcterms:W3CDTF">2019-05-13T18:46:00Z</dcterms:created>
  <dcterms:modified xsi:type="dcterms:W3CDTF">2019-05-13T18:46:00Z</dcterms:modified>
</cp:coreProperties>
</file>