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DA2" w:rsidRDefault="00AB4DA2" w:rsidP="004A479C">
      <w:pPr>
        <w:spacing w:after="0" w:line="240" w:lineRule="auto"/>
        <w:jc w:val="center"/>
      </w:pPr>
      <w:r w:rsidRPr="00AB4DA2">
        <w:rPr>
          <w:highlight w:val="yellow"/>
        </w:rPr>
        <w:t xml:space="preserve">Este es un documento de trabajo que únicamente pretende fungir como editor de texto (para facilitar el trabajo en colectivo). Llegado el momento puedo pasarlo a </w:t>
      </w:r>
      <w:proofErr w:type="spellStart"/>
      <w:r w:rsidRPr="00AB4DA2">
        <w:rPr>
          <w:highlight w:val="yellow"/>
        </w:rPr>
        <w:t>Latex</w:t>
      </w:r>
      <w:proofErr w:type="spellEnd"/>
      <w:r w:rsidRPr="00AB4DA2">
        <w:rPr>
          <w:highlight w:val="yellow"/>
        </w:rPr>
        <w:t xml:space="preserve"> en la presentación requerida sin problema –</w:t>
      </w:r>
      <w:r>
        <w:rPr>
          <w:highlight w:val="yellow"/>
        </w:rPr>
        <w:t>Adriana</w:t>
      </w:r>
      <w:r w:rsidRPr="00AB4DA2">
        <w:rPr>
          <w:highlight w:val="yellow"/>
        </w:rPr>
        <w:t>.</w:t>
      </w:r>
    </w:p>
    <w:p w:rsidR="00AB4DA2" w:rsidRDefault="00AB4DA2" w:rsidP="004A479C">
      <w:pPr>
        <w:spacing w:after="0" w:line="240" w:lineRule="auto"/>
        <w:jc w:val="center"/>
      </w:pPr>
    </w:p>
    <w:p w:rsidR="005E404E" w:rsidRDefault="00D254F3" w:rsidP="004A479C">
      <w:pPr>
        <w:spacing w:after="0" w:line="240" w:lineRule="auto"/>
        <w:jc w:val="center"/>
      </w:pPr>
      <w:r>
        <w:t xml:space="preserve">Evaluación Diagnóstica Cognitiva: </w:t>
      </w:r>
      <w:r w:rsidR="004A479C">
        <w:br/>
      </w:r>
      <w:r>
        <w:t>Un tutorial para la aplicación del modelo DINA en R.</w:t>
      </w:r>
    </w:p>
    <w:p w:rsidR="004A479C" w:rsidRDefault="004A479C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Pr="002708EF" w:rsidRDefault="003B64B0" w:rsidP="004A479C">
      <w:pPr>
        <w:spacing w:after="0" w:line="240" w:lineRule="auto"/>
        <w:rPr>
          <w:color w:val="767171" w:themeColor="background2" w:themeShade="80"/>
        </w:rPr>
      </w:pPr>
      <w:r w:rsidRPr="002708EF">
        <w:rPr>
          <w:color w:val="767171" w:themeColor="background2" w:themeShade="80"/>
        </w:rPr>
        <w:t xml:space="preserve">Estructura general </w:t>
      </w:r>
      <w:r w:rsidR="002708EF">
        <w:rPr>
          <w:color w:val="767171" w:themeColor="background2" w:themeShade="80"/>
        </w:rPr>
        <w:t xml:space="preserve"> (El contenido comienza a desarrollarse en la siguiente página)</w:t>
      </w:r>
    </w:p>
    <w:p w:rsidR="003B64B0" w:rsidRDefault="003B64B0" w:rsidP="004A479C">
      <w:pPr>
        <w:spacing w:after="0" w:line="240" w:lineRule="auto"/>
      </w:pPr>
    </w:p>
    <w:p w:rsidR="00D254F3" w:rsidRDefault="00D254F3" w:rsidP="004A479C">
      <w:pPr>
        <w:spacing w:after="0" w:line="240" w:lineRule="auto"/>
      </w:pPr>
      <w:r>
        <w:t>Introducción a DINA</w:t>
      </w:r>
    </w:p>
    <w:p w:rsidR="00D254F3" w:rsidRDefault="00D254F3" w:rsidP="004A479C">
      <w:pPr>
        <w:spacing w:after="0" w:line="240" w:lineRule="auto"/>
      </w:pPr>
      <w:r>
        <w:tab/>
        <w:t>Descripción del modelo</w:t>
      </w:r>
      <w:r w:rsidR="002708EF">
        <w:t xml:space="preserve"> y sus parámetros</w:t>
      </w:r>
    </w:p>
    <w:p w:rsidR="00D254F3" w:rsidRDefault="00D254F3" w:rsidP="004A479C">
      <w:pPr>
        <w:spacing w:after="0" w:line="240" w:lineRule="auto"/>
      </w:pPr>
      <w:r>
        <w:tab/>
        <w:t>Breve repaso histórico:</w:t>
      </w:r>
    </w:p>
    <w:p w:rsidR="004A479C" w:rsidRDefault="004A479C" w:rsidP="004A479C">
      <w:pPr>
        <w:spacing w:after="0" w:line="240" w:lineRule="auto"/>
        <w:ind w:left="708" w:firstLine="708"/>
      </w:pPr>
      <w:r>
        <w:t xml:space="preserve">El modelo DINA como una instancia de los </w:t>
      </w:r>
      <w:proofErr w:type="spellStart"/>
      <w:r>
        <w:t>CDMs</w:t>
      </w:r>
      <w:proofErr w:type="spellEnd"/>
    </w:p>
    <w:p w:rsidR="004A479C" w:rsidRDefault="004A479C" w:rsidP="004A479C">
      <w:pPr>
        <w:spacing w:after="0" w:line="240" w:lineRule="auto"/>
        <w:ind w:left="708" w:firstLine="708"/>
      </w:pPr>
      <w:r>
        <w:tab/>
      </w:r>
      <w:r>
        <w:tab/>
        <w:t xml:space="preserve">Qué son los </w:t>
      </w:r>
      <w:proofErr w:type="spellStart"/>
      <w:r>
        <w:t>CDMs</w:t>
      </w:r>
      <w:proofErr w:type="spellEnd"/>
      <w:r>
        <w:t xml:space="preserve"> y por qué deberían usarse</w:t>
      </w:r>
    </w:p>
    <w:p w:rsidR="003B7E0A" w:rsidRDefault="003B7E0A" w:rsidP="004A479C">
      <w:pPr>
        <w:spacing w:after="0" w:line="240" w:lineRule="auto"/>
        <w:ind w:left="708" w:firstLine="708"/>
      </w:pPr>
    </w:p>
    <w:p w:rsidR="003B7E0A" w:rsidRPr="003B7E0A" w:rsidRDefault="003B7E0A" w:rsidP="004A479C">
      <w:pPr>
        <w:spacing w:after="0" w:line="240" w:lineRule="auto"/>
        <w:ind w:left="708" w:firstLine="708"/>
        <w:rPr>
          <w:lang w:val="en-US"/>
        </w:rPr>
      </w:pPr>
    </w:p>
    <w:p w:rsidR="00D254F3" w:rsidRDefault="00D254F3" w:rsidP="004A479C">
      <w:pPr>
        <w:spacing w:after="0" w:line="240" w:lineRule="auto"/>
      </w:pPr>
      <w:r w:rsidRPr="003B7E0A">
        <w:rPr>
          <w:lang w:val="en-US"/>
        </w:rPr>
        <w:tab/>
      </w:r>
      <w:r w:rsidRPr="003B7E0A">
        <w:rPr>
          <w:lang w:val="en-US"/>
        </w:rPr>
        <w:tab/>
      </w:r>
      <w:r w:rsidR="004A479C">
        <w:t>Importancia del modelo DINA en el marco de los CDM</w:t>
      </w:r>
    </w:p>
    <w:p w:rsidR="004A479C" w:rsidRDefault="004A479C" w:rsidP="004A479C">
      <w:pPr>
        <w:spacing w:after="0" w:line="240" w:lineRule="auto"/>
      </w:pPr>
      <w:r>
        <w:tab/>
      </w:r>
      <w:r>
        <w:tab/>
        <w:t>Derivados del Modelo DINA</w:t>
      </w:r>
    </w:p>
    <w:p w:rsidR="004A479C" w:rsidRDefault="004A479C" w:rsidP="004A479C">
      <w:pPr>
        <w:spacing w:after="0" w:line="240" w:lineRule="auto"/>
      </w:pPr>
      <w:r>
        <w:tab/>
      </w:r>
      <w:r>
        <w:tab/>
      </w:r>
      <w:r>
        <w:tab/>
        <w:t>DINO</w:t>
      </w:r>
    </w:p>
    <w:p w:rsidR="004A479C" w:rsidRDefault="004A479C" w:rsidP="004A479C">
      <w:pPr>
        <w:spacing w:after="0" w:line="240" w:lineRule="auto"/>
      </w:pPr>
      <w:r>
        <w:tab/>
      </w:r>
      <w:r>
        <w:tab/>
      </w:r>
      <w:r>
        <w:tab/>
        <w:t>HO-DINA</w:t>
      </w:r>
    </w:p>
    <w:p w:rsidR="00D254F3" w:rsidRDefault="00D254F3" w:rsidP="004A479C">
      <w:pPr>
        <w:spacing w:after="0" w:line="240" w:lineRule="auto"/>
      </w:pPr>
      <w:r>
        <w:t>Para trabajar en R</w:t>
      </w:r>
    </w:p>
    <w:p w:rsidR="00D254F3" w:rsidRDefault="00D254F3" w:rsidP="004A479C">
      <w:pPr>
        <w:spacing w:after="0" w:line="240" w:lineRule="auto"/>
      </w:pPr>
      <w:r>
        <w:tab/>
        <w:t>Descripción de paqueterías</w:t>
      </w:r>
    </w:p>
    <w:p w:rsidR="00D254F3" w:rsidRDefault="004A479C" w:rsidP="004A479C">
      <w:pPr>
        <w:spacing w:after="0" w:line="240" w:lineRule="auto"/>
      </w:pPr>
      <w:r>
        <w:tab/>
      </w:r>
      <w:r>
        <w:tab/>
        <w:t>C</w:t>
      </w:r>
      <w:r w:rsidR="00D254F3">
        <w:t>D</w:t>
      </w:r>
      <w:r>
        <w:t>M</w:t>
      </w:r>
    </w:p>
    <w:p w:rsidR="00D254F3" w:rsidRDefault="00D254F3" w:rsidP="004A479C">
      <w:pPr>
        <w:spacing w:after="0" w:line="240" w:lineRule="auto"/>
      </w:pPr>
      <w:r>
        <w:tab/>
      </w:r>
      <w:r>
        <w:tab/>
        <w:t>JAGS</w:t>
      </w:r>
    </w:p>
    <w:p w:rsidR="002708EF" w:rsidRDefault="002708EF" w:rsidP="004A479C">
      <w:pPr>
        <w:spacing w:after="0" w:line="240" w:lineRule="auto"/>
      </w:pPr>
    </w:p>
    <w:p w:rsidR="00D254F3" w:rsidRDefault="00D254F3" w:rsidP="004A479C">
      <w:pPr>
        <w:spacing w:after="0" w:line="240" w:lineRule="auto"/>
      </w:pPr>
      <w:r>
        <w:t>Modelo DINA Clásico</w:t>
      </w:r>
    </w:p>
    <w:p w:rsidR="00D254F3" w:rsidRDefault="00D254F3" w:rsidP="004A479C">
      <w:pPr>
        <w:spacing w:after="0" w:line="240" w:lineRule="auto"/>
      </w:pPr>
      <w:r>
        <w:tab/>
        <w:t>Estimación de parámetros por Máxima Verosimilitud</w:t>
      </w:r>
    </w:p>
    <w:p w:rsidR="002708EF" w:rsidRDefault="00D254F3" w:rsidP="004A479C">
      <w:pPr>
        <w:spacing w:after="0" w:line="240" w:lineRule="auto"/>
      </w:pPr>
      <w:r>
        <w:tab/>
        <w:t>Código</w:t>
      </w:r>
    </w:p>
    <w:p w:rsidR="002708EF" w:rsidRDefault="002708EF" w:rsidP="004A479C">
      <w:pPr>
        <w:spacing w:after="0" w:line="240" w:lineRule="auto"/>
      </w:pPr>
    </w:p>
    <w:p w:rsidR="00D254F3" w:rsidRDefault="00D254F3" w:rsidP="004A479C">
      <w:pPr>
        <w:spacing w:after="0" w:line="240" w:lineRule="auto"/>
      </w:pPr>
      <w:r>
        <w:t>DINA bayesiano</w:t>
      </w:r>
    </w:p>
    <w:p w:rsidR="00D254F3" w:rsidRDefault="00D254F3" w:rsidP="004A479C">
      <w:pPr>
        <w:spacing w:after="0" w:line="240" w:lineRule="auto"/>
      </w:pPr>
      <w:r>
        <w:tab/>
        <w:t>Código</w:t>
      </w:r>
    </w:p>
    <w:p w:rsidR="004A479C" w:rsidRDefault="004A479C" w:rsidP="004A479C">
      <w:pPr>
        <w:spacing w:after="0" w:line="240" w:lineRule="auto"/>
      </w:pPr>
    </w:p>
    <w:p w:rsidR="00D254F3" w:rsidRDefault="00D254F3" w:rsidP="004A479C">
      <w:pPr>
        <w:spacing w:after="0" w:line="240" w:lineRule="auto"/>
      </w:pPr>
      <w:r>
        <w:t>Referencias</w:t>
      </w: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AB4DA2" w:rsidRDefault="00AB4DA2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4A479C">
      <w:pPr>
        <w:spacing w:after="0" w:line="240" w:lineRule="auto"/>
      </w:pPr>
    </w:p>
    <w:p w:rsidR="003B64B0" w:rsidRDefault="003B64B0" w:rsidP="003B64B0">
      <w:pPr>
        <w:spacing w:after="0" w:line="240" w:lineRule="auto"/>
      </w:pPr>
      <w:r w:rsidRPr="002A7726">
        <w:rPr>
          <w:color w:val="767171" w:themeColor="background2" w:themeShade="80"/>
        </w:rPr>
        <w:t>Desarrollo</w:t>
      </w:r>
    </w:p>
    <w:p w:rsidR="003B64B0" w:rsidRPr="002A7726" w:rsidRDefault="003B64B0" w:rsidP="003B64B0">
      <w:pPr>
        <w:spacing w:after="0" w:line="240" w:lineRule="auto"/>
        <w:jc w:val="center"/>
        <w:rPr>
          <w:b/>
        </w:rPr>
      </w:pPr>
      <w:r w:rsidRPr="002A7726">
        <w:rPr>
          <w:b/>
        </w:rPr>
        <w:t xml:space="preserve">Evaluación Diagnóstica Cognitiva: </w:t>
      </w:r>
      <w:r w:rsidRPr="002A7726">
        <w:rPr>
          <w:b/>
        </w:rPr>
        <w:br/>
        <w:t>Un tutorial para la aplicación del modelo DINA en R.</w:t>
      </w:r>
    </w:p>
    <w:p w:rsidR="003B64B0" w:rsidRDefault="003B64B0" w:rsidP="003B64B0">
      <w:pPr>
        <w:spacing w:after="0" w:line="240" w:lineRule="auto"/>
      </w:pPr>
    </w:p>
    <w:p w:rsidR="003B64B0" w:rsidRPr="002A7726" w:rsidRDefault="003B64B0" w:rsidP="003B64B0">
      <w:pPr>
        <w:spacing w:after="0" w:line="240" w:lineRule="auto"/>
        <w:rPr>
          <w:b/>
        </w:rPr>
      </w:pPr>
      <w:r w:rsidRPr="002A7726">
        <w:rPr>
          <w:b/>
        </w:rPr>
        <w:t xml:space="preserve">1. Introducción </w:t>
      </w:r>
    </w:p>
    <w:p w:rsidR="002A7726" w:rsidRPr="004B5BF5" w:rsidRDefault="002A7726" w:rsidP="003B7E0A">
      <w:pPr>
        <w:spacing w:after="0" w:line="240" w:lineRule="auto"/>
        <w:rPr>
          <w:color w:val="2F5496" w:themeColor="accent5" w:themeShade="BF"/>
        </w:rPr>
      </w:pPr>
      <w:r w:rsidRPr="002A7726">
        <w:rPr>
          <w:color w:val="767171" w:themeColor="background2" w:themeShade="80"/>
        </w:rPr>
        <w:tab/>
      </w:r>
      <w:r w:rsidRPr="004B5BF5">
        <w:rPr>
          <w:color w:val="2F5496" w:themeColor="accent5" w:themeShade="BF"/>
        </w:rPr>
        <w:t>Descripción del modelo</w:t>
      </w:r>
    </w:p>
    <w:p w:rsidR="003B64B0" w:rsidRDefault="003B64B0" w:rsidP="003B64B0">
      <w:pPr>
        <w:spacing w:after="0" w:line="240" w:lineRule="auto"/>
      </w:pPr>
      <w:r>
        <w:t xml:space="preserve">El modelo DINA (llamado así por sus siglas en inglés: </w:t>
      </w:r>
      <w:proofErr w:type="spellStart"/>
      <w:r>
        <w:t>Deterministic</w:t>
      </w:r>
      <w:proofErr w:type="spellEnd"/>
      <w:r>
        <w:t xml:space="preserve"> Inputs, </w:t>
      </w:r>
      <w:proofErr w:type="spellStart"/>
      <w:r>
        <w:t>Noisy</w:t>
      </w:r>
      <w:proofErr w:type="spellEnd"/>
      <w:r>
        <w:t xml:space="preserve"> And </w:t>
      </w:r>
      <w:proofErr w:type="spellStart"/>
      <w:r>
        <w:t>gate</w:t>
      </w:r>
      <w:proofErr w:type="spellEnd"/>
      <w:r>
        <w:t>)</w:t>
      </w:r>
    </w:p>
    <w:p w:rsidR="003B64B0" w:rsidRDefault="003B64B0" w:rsidP="003B64B0">
      <w:pPr>
        <w:spacing w:after="0" w:line="240" w:lineRule="auto"/>
      </w:pPr>
    </w:p>
    <w:p w:rsidR="003B64B0" w:rsidRDefault="003B64B0" w:rsidP="003B64B0">
      <w:pPr>
        <w:spacing w:after="0" w:line="240" w:lineRule="auto"/>
      </w:pPr>
    </w:p>
    <w:p w:rsidR="003B64B0" w:rsidRDefault="003B64B0" w:rsidP="003B64B0">
      <w:pPr>
        <w:spacing w:after="0" w:line="240" w:lineRule="auto"/>
      </w:pPr>
      <w:r>
        <w:tab/>
        <w:t>Breve repaso histórico:</w:t>
      </w:r>
    </w:p>
    <w:p w:rsidR="003B64B0" w:rsidRPr="004B5BF5" w:rsidRDefault="003B64B0" w:rsidP="003B64B0">
      <w:pPr>
        <w:spacing w:after="0" w:line="240" w:lineRule="auto"/>
        <w:ind w:left="708" w:firstLine="708"/>
        <w:rPr>
          <w:color w:val="2F5496" w:themeColor="accent5" w:themeShade="BF"/>
        </w:rPr>
      </w:pPr>
      <w:r w:rsidRPr="004B5BF5">
        <w:rPr>
          <w:color w:val="2F5496" w:themeColor="accent5" w:themeShade="BF"/>
        </w:rPr>
        <w:t xml:space="preserve">El modelo DINA como una instancia de los </w:t>
      </w:r>
      <w:proofErr w:type="spellStart"/>
      <w:r w:rsidRPr="004B5BF5">
        <w:rPr>
          <w:color w:val="2F5496" w:themeColor="accent5" w:themeShade="BF"/>
        </w:rPr>
        <w:t>CDMs</w:t>
      </w:r>
      <w:proofErr w:type="spellEnd"/>
    </w:p>
    <w:p w:rsidR="003B64B0" w:rsidRPr="004B5BF5" w:rsidRDefault="003B64B0" w:rsidP="003B64B0">
      <w:pPr>
        <w:spacing w:after="0" w:line="240" w:lineRule="auto"/>
        <w:ind w:left="708" w:firstLine="708"/>
        <w:rPr>
          <w:color w:val="2F5496" w:themeColor="accent5" w:themeShade="BF"/>
        </w:rPr>
      </w:pPr>
      <w:r w:rsidRPr="004B5BF5">
        <w:rPr>
          <w:color w:val="2F5496" w:themeColor="accent5" w:themeShade="BF"/>
        </w:rPr>
        <w:tab/>
      </w:r>
      <w:r w:rsidRPr="004B5BF5">
        <w:rPr>
          <w:color w:val="2F5496" w:themeColor="accent5" w:themeShade="BF"/>
        </w:rPr>
        <w:tab/>
        <w:t xml:space="preserve">Qué son los </w:t>
      </w:r>
      <w:proofErr w:type="spellStart"/>
      <w:r w:rsidRPr="004B5BF5">
        <w:rPr>
          <w:color w:val="2F5496" w:themeColor="accent5" w:themeShade="BF"/>
        </w:rPr>
        <w:t>CDMs</w:t>
      </w:r>
      <w:proofErr w:type="spellEnd"/>
      <w:r w:rsidRPr="004B5BF5">
        <w:rPr>
          <w:color w:val="2F5496" w:themeColor="accent5" w:themeShade="BF"/>
        </w:rPr>
        <w:t xml:space="preserve"> y por qué deberían usarse</w:t>
      </w:r>
    </w:p>
    <w:p w:rsidR="003B7E0A" w:rsidRDefault="003B7E0A" w:rsidP="003B7E0A">
      <w:pPr>
        <w:spacing w:after="0" w:line="240" w:lineRule="auto"/>
      </w:pPr>
      <w:r>
        <w:t xml:space="preserve">El modelo DINA forma parte de la familia de los modelos de diagnóstico cognitivos (referidos en lo posterior como </w:t>
      </w:r>
      <w:proofErr w:type="spellStart"/>
      <w:r>
        <w:t>CDMs</w:t>
      </w:r>
      <w:proofErr w:type="spellEnd"/>
      <w:r>
        <w:t xml:space="preserve"> por sus siglas en inglés: </w:t>
      </w:r>
      <w:proofErr w:type="spellStart"/>
      <w:r>
        <w:t>Cognitive</w:t>
      </w:r>
      <w:proofErr w:type="spellEnd"/>
      <w:r>
        <w:t xml:space="preserve"> Diagnosis </w:t>
      </w:r>
      <w:proofErr w:type="spellStart"/>
      <w:r>
        <w:t>Models</w:t>
      </w:r>
      <w:proofErr w:type="spellEnd"/>
      <w:r>
        <w:t xml:space="preserve">). </w:t>
      </w:r>
    </w:p>
    <w:p w:rsidR="003B7E0A" w:rsidRDefault="003B7E0A" w:rsidP="003B7E0A">
      <w:pPr>
        <w:spacing w:after="0" w:line="240" w:lineRule="auto"/>
      </w:pPr>
    </w:p>
    <w:p w:rsidR="00821048" w:rsidRDefault="004B5BF5" w:rsidP="003B7E0A">
      <w:pPr>
        <w:spacing w:after="0" w:line="240" w:lineRule="auto"/>
      </w:pPr>
      <w:r>
        <w:t>A</w:t>
      </w:r>
      <w:r w:rsidR="00821048">
        <w:t xml:space="preserve"> diferencia de los modelos derivados de la Teoría de Respuesta al Ítem que parten </w:t>
      </w:r>
      <w:r>
        <w:t>d</w:t>
      </w:r>
      <w:r w:rsidR="00821048">
        <w:t xml:space="preserve">el supuesto esencial de la </w:t>
      </w:r>
      <w:proofErr w:type="spellStart"/>
      <w:r w:rsidR="00821048">
        <w:t>Unidimensionalidad</w:t>
      </w:r>
      <w:proofErr w:type="spellEnd"/>
      <w:r w:rsidR="00821048">
        <w:t xml:space="preserve"> del nivel de habilidad de los participantes (típicamente representado con el parámetro </w:t>
      </w:r>
      <m:oMath>
        <m:r>
          <w:rPr>
            <w:rFonts w:ascii="Cambria Math" w:hAnsi="Cambria Math"/>
          </w:rPr>
          <m:t>θ</m:t>
        </m:r>
      </m:oMath>
      <w:r w:rsidR="00821048">
        <w:t xml:space="preserve">), los </w:t>
      </w:r>
      <w:proofErr w:type="spellStart"/>
      <w:r w:rsidR="00821048">
        <w:t>CDMs</w:t>
      </w:r>
      <w:proofErr w:type="spellEnd"/>
      <w:r w:rsidR="00821048">
        <w:t xml:space="preserve"> permiten identificar la presencia o ausencia</w:t>
      </w:r>
      <w:r>
        <w:t xml:space="preserve"> (referido en la literatura como “dominio” o “falta de dominio”)</w:t>
      </w:r>
      <w:r w:rsidR="00821048">
        <w:t xml:space="preserve"> </w:t>
      </w:r>
      <w:proofErr w:type="spellStart"/>
      <w:r w:rsidR="00821048">
        <w:t>de</w:t>
      </w:r>
      <w:proofErr w:type="spellEnd"/>
      <w:r w:rsidR="00821048">
        <w:t xml:space="preserve"> múltiples sub-habilidades</w:t>
      </w:r>
      <w:r>
        <w:t xml:space="preserve"> que se requieren para la resolución de los ítems que conforman el test. </w:t>
      </w:r>
      <w:bookmarkStart w:id="0" w:name="_GoBack"/>
      <w:bookmarkEnd w:id="0"/>
    </w:p>
    <w:p w:rsidR="003B7E0A" w:rsidRDefault="003B7E0A" w:rsidP="003B7E0A">
      <w:pPr>
        <w:spacing w:after="0" w:line="240" w:lineRule="auto"/>
      </w:pPr>
    </w:p>
    <w:p w:rsidR="003B7E0A" w:rsidRPr="003B7E0A" w:rsidRDefault="003B7E0A" w:rsidP="003B7E0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  <w:lang w:val="en-US"/>
        </w:rPr>
      </w:pPr>
      <w:r w:rsidRPr="003B7E0A">
        <w:rPr>
          <w:rFonts w:ascii="AdvP6F00" w:hAnsi="AdvP6F00" w:cs="AdvP6F00"/>
          <w:sz w:val="20"/>
          <w:szCs w:val="20"/>
          <w:lang w:val="en-US"/>
        </w:rPr>
        <w:t xml:space="preserve">As an alternative to </w:t>
      </w:r>
      <w:proofErr w:type="spellStart"/>
      <w:r w:rsidRPr="003B7E0A">
        <w:rPr>
          <w:rFonts w:ascii="AdvP6F00" w:hAnsi="AdvP6F00" w:cs="AdvP6F00"/>
          <w:sz w:val="20"/>
          <w:szCs w:val="20"/>
          <w:lang w:val="en-US"/>
        </w:rPr>
        <w:t>unidimensional</w:t>
      </w:r>
      <w:proofErr w:type="spellEnd"/>
      <w:r w:rsidRPr="003B7E0A">
        <w:rPr>
          <w:rFonts w:ascii="AdvP6F00" w:hAnsi="AdvP6F00" w:cs="AdvP6F00"/>
          <w:sz w:val="20"/>
          <w:szCs w:val="20"/>
          <w:lang w:val="en-US"/>
        </w:rPr>
        <w:t xml:space="preserve"> IRMs, cognitive and skills diagnosis</w:t>
      </w:r>
    </w:p>
    <w:p w:rsidR="003B7E0A" w:rsidRPr="003B7E0A" w:rsidRDefault="003B7E0A" w:rsidP="003B7E0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  <w:lang w:val="en-US"/>
        </w:rPr>
      </w:pPr>
      <w:proofErr w:type="gramStart"/>
      <w:r w:rsidRPr="003B7E0A">
        <w:rPr>
          <w:rFonts w:ascii="AdvP6F00" w:hAnsi="AdvP6F00" w:cs="AdvP6F00"/>
          <w:sz w:val="20"/>
          <w:szCs w:val="20"/>
          <w:lang w:val="en-US"/>
        </w:rPr>
        <w:t>models</w:t>
      </w:r>
      <w:proofErr w:type="gramEnd"/>
      <w:r w:rsidRPr="003B7E0A">
        <w:rPr>
          <w:rFonts w:ascii="AdvP6F00" w:hAnsi="AdvP6F00" w:cs="AdvP6F00"/>
          <w:sz w:val="20"/>
          <w:szCs w:val="20"/>
          <w:lang w:val="en-US"/>
        </w:rPr>
        <w:t xml:space="preserve"> are developed for the purpose of identifying the presence or absence of</w:t>
      </w:r>
    </w:p>
    <w:p w:rsidR="003B7E0A" w:rsidRPr="003B7E0A" w:rsidRDefault="003B7E0A" w:rsidP="003B7E0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  <w:lang w:val="en-US"/>
        </w:rPr>
      </w:pPr>
      <w:proofErr w:type="gramStart"/>
      <w:r w:rsidRPr="003B7E0A">
        <w:rPr>
          <w:rFonts w:ascii="AdvP6F00" w:hAnsi="AdvP6F00" w:cs="AdvP6F00"/>
          <w:sz w:val="20"/>
          <w:szCs w:val="20"/>
          <w:lang w:val="en-US"/>
        </w:rPr>
        <w:t>multiple</w:t>
      </w:r>
      <w:proofErr w:type="gramEnd"/>
      <w:r w:rsidRPr="003B7E0A">
        <w:rPr>
          <w:rFonts w:ascii="AdvP6F00" w:hAnsi="AdvP6F00" w:cs="AdvP6F00"/>
          <w:sz w:val="20"/>
          <w:szCs w:val="20"/>
          <w:lang w:val="en-US"/>
        </w:rPr>
        <w:t xml:space="preserve"> fine-grained skills required for solving problems on a test. In the literature,</w:t>
      </w:r>
    </w:p>
    <w:p w:rsidR="003B7E0A" w:rsidRPr="003B7E0A" w:rsidRDefault="003B7E0A" w:rsidP="003B7E0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  <w:lang w:val="en-US"/>
        </w:rPr>
      </w:pPr>
      <w:proofErr w:type="gramStart"/>
      <w:r w:rsidRPr="003B7E0A">
        <w:rPr>
          <w:rFonts w:ascii="AdvP6F00" w:hAnsi="AdvP6F00" w:cs="AdvP6F00"/>
          <w:sz w:val="20"/>
          <w:szCs w:val="20"/>
          <w:lang w:val="en-US"/>
        </w:rPr>
        <w:t>the</w:t>
      </w:r>
      <w:proofErr w:type="gramEnd"/>
      <w:r w:rsidRPr="003B7E0A">
        <w:rPr>
          <w:rFonts w:ascii="AdvP6F00" w:hAnsi="AdvP6F00" w:cs="AdvP6F00"/>
          <w:sz w:val="20"/>
          <w:szCs w:val="20"/>
          <w:lang w:val="en-US"/>
        </w:rPr>
        <w:t xml:space="preserve"> presence and absence of skills are referred to as </w:t>
      </w:r>
      <w:r w:rsidRPr="003B7E0A">
        <w:rPr>
          <w:rFonts w:ascii="AdvP6F0B" w:hAnsi="AdvP6F0B" w:cs="AdvP6F0B"/>
          <w:sz w:val="20"/>
          <w:szCs w:val="20"/>
          <w:lang w:val="en-US"/>
        </w:rPr>
        <w:t xml:space="preserve">skills mastery </w:t>
      </w:r>
      <w:r w:rsidRPr="003B7E0A">
        <w:rPr>
          <w:rFonts w:ascii="AdvP6F00" w:hAnsi="AdvP6F00" w:cs="AdvP6F00"/>
          <w:sz w:val="20"/>
          <w:szCs w:val="20"/>
          <w:lang w:val="en-US"/>
        </w:rPr>
        <w:t xml:space="preserve">and </w:t>
      </w:r>
      <w:proofErr w:type="spellStart"/>
      <w:r w:rsidRPr="003B7E0A">
        <w:rPr>
          <w:rFonts w:ascii="AdvP6F0B" w:hAnsi="AdvP6F0B" w:cs="AdvP6F0B"/>
          <w:sz w:val="20"/>
          <w:szCs w:val="20"/>
          <w:lang w:val="en-US"/>
        </w:rPr>
        <w:t>nonmastery</w:t>
      </w:r>
      <w:proofErr w:type="spellEnd"/>
      <w:r w:rsidRPr="003B7E0A">
        <w:rPr>
          <w:rFonts w:ascii="AdvP6F00" w:hAnsi="AdvP6F00" w:cs="AdvP6F00"/>
          <w:sz w:val="20"/>
          <w:szCs w:val="20"/>
          <w:lang w:val="en-US"/>
        </w:rPr>
        <w:t>,</w:t>
      </w:r>
    </w:p>
    <w:p w:rsidR="003B7E0A" w:rsidRPr="003B7E0A" w:rsidRDefault="003B7E0A" w:rsidP="003B7E0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  <w:lang w:val="en-US"/>
        </w:rPr>
      </w:pPr>
      <w:proofErr w:type="gramStart"/>
      <w:r w:rsidRPr="003B7E0A">
        <w:rPr>
          <w:rFonts w:ascii="AdvP6F00" w:hAnsi="AdvP6F00" w:cs="AdvP6F00"/>
          <w:sz w:val="20"/>
          <w:szCs w:val="20"/>
          <w:lang w:val="en-US"/>
        </w:rPr>
        <w:t>respectively</w:t>
      </w:r>
      <w:proofErr w:type="gramEnd"/>
      <w:r w:rsidRPr="003B7E0A">
        <w:rPr>
          <w:rFonts w:ascii="AdvP6F00" w:hAnsi="AdvP6F00" w:cs="AdvP6F00"/>
          <w:sz w:val="20"/>
          <w:szCs w:val="20"/>
          <w:lang w:val="en-US"/>
        </w:rPr>
        <w:t>, and are represented by a vector of binary latent variables.</w:t>
      </w:r>
    </w:p>
    <w:p w:rsidR="003B7E0A" w:rsidRPr="003B7E0A" w:rsidRDefault="003B7E0A" w:rsidP="003B7E0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  <w:lang w:val="en-US"/>
        </w:rPr>
      </w:pPr>
      <w:r w:rsidRPr="003B7E0A">
        <w:rPr>
          <w:rFonts w:ascii="AdvP6F00" w:hAnsi="AdvP6F00" w:cs="AdvP6F00"/>
          <w:sz w:val="20"/>
          <w:szCs w:val="20"/>
          <w:lang w:val="en-US"/>
        </w:rPr>
        <w:t>Thus, instead of a single score, a profile can be generated for a student or a</w:t>
      </w:r>
    </w:p>
    <w:p w:rsidR="003B7E0A" w:rsidRPr="003B7E0A" w:rsidRDefault="003B7E0A" w:rsidP="003B7E0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  <w:lang w:val="en-US"/>
        </w:rPr>
      </w:pPr>
      <w:proofErr w:type="gramStart"/>
      <w:r w:rsidRPr="003B7E0A">
        <w:rPr>
          <w:rFonts w:ascii="AdvP6F00" w:hAnsi="AdvP6F00" w:cs="AdvP6F00"/>
          <w:sz w:val="20"/>
          <w:szCs w:val="20"/>
          <w:lang w:val="en-US"/>
        </w:rPr>
        <w:t>group</w:t>
      </w:r>
      <w:proofErr w:type="gramEnd"/>
      <w:r w:rsidRPr="003B7E0A">
        <w:rPr>
          <w:rFonts w:ascii="AdvP6F00" w:hAnsi="AdvP6F00" w:cs="AdvP6F00"/>
          <w:sz w:val="20"/>
          <w:szCs w:val="20"/>
          <w:lang w:val="en-US"/>
        </w:rPr>
        <w:t xml:space="preserve"> of students (e.g., class, district) to indicate which skills each student has</w:t>
      </w:r>
    </w:p>
    <w:p w:rsidR="003B7E0A" w:rsidRPr="003B7E0A" w:rsidRDefault="003B7E0A" w:rsidP="003B7E0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  <w:lang w:val="en-US"/>
        </w:rPr>
      </w:pPr>
      <w:proofErr w:type="gramStart"/>
      <w:r w:rsidRPr="003B7E0A">
        <w:rPr>
          <w:rFonts w:ascii="AdvP6F00" w:hAnsi="AdvP6F00" w:cs="AdvP6F00"/>
          <w:sz w:val="20"/>
          <w:szCs w:val="20"/>
          <w:lang w:val="en-US"/>
        </w:rPr>
        <w:t>or</w:t>
      </w:r>
      <w:proofErr w:type="gramEnd"/>
      <w:r w:rsidRPr="003B7E0A">
        <w:rPr>
          <w:rFonts w:ascii="AdvP6F00" w:hAnsi="AdvP6F00" w:cs="AdvP6F00"/>
          <w:sz w:val="20"/>
          <w:szCs w:val="20"/>
          <w:lang w:val="en-US"/>
        </w:rPr>
        <w:t xml:space="preserve"> has not mastered. These profiles contain rich and relevant information that</w:t>
      </w:r>
    </w:p>
    <w:p w:rsidR="003B7E0A" w:rsidRPr="003B7E0A" w:rsidRDefault="003B7E0A" w:rsidP="003B7E0A">
      <w:pPr>
        <w:spacing w:after="0" w:line="240" w:lineRule="auto"/>
        <w:ind w:left="708" w:firstLine="708"/>
        <w:rPr>
          <w:lang w:val="en-US"/>
        </w:rPr>
      </w:pPr>
      <w:proofErr w:type="gramStart"/>
      <w:r w:rsidRPr="003B7E0A">
        <w:rPr>
          <w:rFonts w:ascii="AdvP6F00" w:hAnsi="AdvP6F00" w:cs="AdvP6F00"/>
          <w:sz w:val="20"/>
          <w:szCs w:val="20"/>
          <w:lang w:val="en-US"/>
        </w:rPr>
        <w:t>can</w:t>
      </w:r>
      <w:proofErr w:type="gramEnd"/>
      <w:r w:rsidRPr="003B7E0A">
        <w:rPr>
          <w:rFonts w:ascii="AdvP6F00" w:hAnsi="AdvP6F00" w:cs="AdvP6F00"/>
          <w:sz w:val="20"/>
          <w:szCs w:val="20"/>
          <w:lang w:val="en-US"/>
        </w:rPr>
        <w:t xml:space="preserve"> have immense practical implications on classroom instruction and learning.</w:t>
      </w:r>
    </w:p>
    <w:p w:rsidR="003B7E0A" w:rsidRPr="003B7E0A" w:rsidRDefault="003B7E0A" w:rsidP="003B64B0">
      <w:pPr>
        <w:spacing w:after="0" w:line="240" w:lineRule="auto"/>
        <w:ind w:left="708" w:firstLine="708"/>
        <w:rPr>
          <w:lang w:val="en-US"/>
        </w:rPr>
      </w:pPr>
    </w:p>
    <w:p w:rsidR="003B64B0" w:rsidRDefault="003B64B0" w:rsidP="003B64B0">
      <w:pPr>
        <w:spacing w:after="0" w:line="240" w:lineRule="auto"/>
      </w:pPr>
      <w:r w:rsidRPr="003B7E0A">
        <w:rPr>
          <w:lang w:val="en-US"/>
        </w:rPr>
        <w:tab/>
      </w:r>
      <w:r w:rsidRPr="003B7E0A">
        <w:rPr>
          <w:lang w:val="en-US"/>
        </w:rPr>
        <w:tab/>
      </w:r>
      <w:r>
        <w:t>Importancia del modelo DINA en el marco de los CDM</w:t>
      </w:r>
    </w:p>
    <w:p w:rsidR="003B64B0" w:rsidRDefault="003B64B0" w:rsidP="003B64B0">
      <w:pPr>
        <w:spacing w:after="0" w:line="240" w:lineRule="auto"/>
      </w:pPr>
      <w:r>
        <w:tab/>
      </w:r>
      <w:r>
        <w:tab/>
        <w:t>Derivados del Modelo DINA</w:t>
      </w:r>
    </w:p>
    <w:p w:rsidR="003B64B0" w:rsidRDefault="003B64B0" w:rsidP="003B64B0">
      <w:pPr>
        <w:spacing w:after="0" w:line="240" w:lineRule="auto"/>
      </w:pPr>
      <w:r>
        <w:tab/>
      </w:r>
      <w:r>
        <w:tab/>
      </w:r>
      <w:r>
        <w:tab/>
        <w:t>DINO</w:t>
      </w:r>
    </w:p>
    <w:p w:rsidR="003B64B0" w:rsidRDefault="003B64B0" w:rsidP="003B64B0">
      <w:pPr>
        <w:spacing w:after="0" w:line="240" w:lineRule="auto"/>
      </w:pPr>
      <w:r>
        <w:tab/>
      </w:r>
      <w:r>
        <w:tab/>
      </w:r>
      <w:r>
        <w:tab/>
        <w:t>HO-DINA</w:t>
      </w:r>
    </w:p>
    <w:p w:rsidR="003B64B0" w:rsidRPr="002A7726" w:rsidRDefault="002A7726" w:rsidP="003B64B0">
      <w:pPr>
        <w:spacing w:after="0" w:line="240" w:lineRule="auto"/>
        <w:rPr>
          <w:b/>
        </w:rPr>
      </w:pPr>
      <w:r>
        <w:rPr>
          <w:b/>
        </w:rPr>
        <w:t>1</w:t>
      </w:r>
      <w:r w:rsidRPr="002A7726">
        <w:rPr>
          <w:b/>
        </w:rPr>
        <w:t>.</w:t>
      </w:r>
      <w:r>
        <w:rPr>
          <w:b/>
        </w:rPr>
        <w:t>1</w:t>
      </w:r>
      <w:r w:rsidRPr="002A7726">
        <w:rPr>
          <w:b/>
        </w:rPr>
        <w:t xml:space="preserve"> </w:t>
      </w:r>
      <w:r w:rsidR="003B64B0" w:rsidRPr="002A7726">
        <w:rPr>
          <w:b/>
        </w:rPr>
        <w:t>Para trabajar en R</w:t>
      </w:r>
    </w:p>
    <w:p w:rsidR="003B64B0" w:rsidRDefault="003B64B0" w:rsidP="003B64B0">
      <w:pPr>
        <w:spacing w:after="0" w:line="240" w:lineRule="auto"/>
      </w:pPr>
      <w:r>
        <w:tab/>
        <w:t>Descripción de paqueterías</w:t>
      </w:r>
    </w:p>
    <w:p w:rsidR="005F3738" w:rsidRDefault="00AB4DA2" w:rsidP="003B64B0">
      <w:pPr>
        <w:spacing w:after="0" w:line="240" w:lineRule="auto"/>
      </w:pPr>
      <w:r>
        <w:t xml:space="preserve">El presente tutorial tiene por objetivo demostrar el trabajo con el modelo DINA para la aplicación. A continuación se enlistan los paquetes con los que se trabajará, con una breve descripción de los mismos. </w:t>
      </w:r>
    </w:p>
    <w:p w:rsidR="003B64B0" w:rsidRPr="002A7726" w:rsidRDefault="003B64B0" w:rsidP="003B64B0">
      <w:pPr>
        <w:spacing w:after="0" w:line="240" w:lineRule="auto"/>
        <w:rPr>
          <w:lang w:val="en-US"/>
        </w:rPr>
      </w:pPr>
      <w:r>
        <w:tab/>
      </w:r>
      <w:r>
        <w:tab/>
      </w:r>
      <w:r w:rsidRPr="002A7726">
        <w:rPr>
          <w:lang w:val="en-US"/>
        </w:rPr>
        <w:t>CDM</w:t>
      </w:r>
      <w:r w:rsidR="002A7726" w:rsidRPr="002A7726">
        <w:rPr>
          <w:lang w:val="en-US"/>
        </w:rPr>
        <w:t xml:space="preserve"> (</w:t>
      </w:r>
      <w:proofErr w:type="spellStart"/>
      <w:r w:rsidR="002A7726" w:rsidRPr="002A7726">
        <w:rPr>
          <w:lang w:val="en-US"/>
        </w:rPr>
        <w:t>Robitzsch</w:t>
      </w:r>
      <w:proofErr w:type="spellEnd"/>
      <w:r w:rsidR="002A7726" w:rsidRPr="002A7726">
        <w:rPr>
          <w:lang w:val="en-US"/>
        </w:rPr>
        <w:t>,</w:t>
      </w:r>
      <w:r w:rsidR="002A7726">
        <w:rPr>
          <w:lang w:val="en-US"/>
        </w:rPr>
        <w:t xml:space="preserve"> </w:t>
      </w:r>
      <w:r w:rsidR="002A7726" w:rsidRPr="002A7726">
        <w:rPr>
          <w:lang w:val="en-US"/>
        </w:rPr>
        <w:t xml:space="preserve">Kiefer, </w:t>
      </w:r>
      <w:r w:rsidR="002A7726">
        <w:rPr>
          <w:lang w:val="en-US"/>
        </w:rPr>
        <w:t>G</w:t>
      </w:r>
      <w:r w:rsidR="002A7726" w:rsidRPr="002A7726">
        <w:rPr>
          <w:lang w:val="en-US"/>
        </w:rPr>
        <w:t>e</w:t>
      </w:r>
      <w:r w:rsidR="002A7726" w:rsidRPr="004A479C">
        <w:rPr>
          <w:lang w:val="en-US"/>
        </w:rPr>
        <w:t xml:space="preserve">orge, </w:t>
      </w:r>
      <w:proofErr w:type="spellStart"/>
      <w:r w:rsidR="002A7726">
        <w:rPr>
          <w:lang w:val="en-US"/>
        </w:rPr>
        <w:t>Uenlue</w:t>
      </w:r>
      <w:proofErr w:type="spellEnd"/>
      <w:r w:rsidR="002A7726">
        <w:rPr>
          <w:lang w:val="en-US"/>
        </w:rPr>
        <w:t xml:space="preserve"> &amp;</w:t>
      </w:r>
      <w:r w:rsidR="002A7726" w:rsidRPr="004A479C">
        <w:rPr>
          <w:lang w:val="en-US"/>
        </w:rPr>
        <w:t xml:space="preserve"> </w:t>
      </w:r>
      <w:proofErr w:type="spellStart"/>
      <w:r w:rsidR="002A7726" w:rsidRPr="004A479C">
        <w:rPr>
          <w:lang w:val="en-US"/>
        </w:rPr>
        <w:t>Robitzsch</w:t>
      </w:r>
      <w:proofErr w:type="spellEnd"/>
      <w:r w:rsidR="002A7726" w:rsidRPr="004A479C">
        <w:rPr>
          <w:lang w:val="en-US"/>
        </w:rPr>
        <w:t>, 2012</w:t>
      </w:r>
      <w:r w:rsidR="002A7726">
        <w:rPr>
          <w:lang w:val="en-US"/>
        </w:rPr>
        <w:t>)</w:t>
      </w:r>
    </w:p>
    <w:p w:rsidR="003B64B0" w:rsidRDefault="003B64B0" w:rsidP="003B64B0">
      <w:pPr>
        <w:spacing w:after="0" w:line="240" w:lineRule="auto"/>
      </w:pPr>
      <w:r w:rsidRPr="002A7726">
        <w:rPr>
          <w:lang w:val="en-US"/>
        </w:rPr>
        <w:tab/>
      </w:r>
      <w:r w:rsidRPr="002A7726">
        <w:rPr>
          <w:lang w:val="en-US"/>
        </w:rPr>
        <w:tab/>
      </w:r>
      <w:r>
        <w:t>JAGS</w:t>
      </w:r>
    </w:p>
    <w:p w:rsidR="005F3738" w:rsidRDefault="005F3738" w:rsidP="003B64B0">
      <w:pPr>
        <w:spacing w:after="0" w:line="240" w:lineRule="auto"/>
      </w:pPr>
      <w:r>
        <w:tab/>
      </w:r>
      <w:r>
        <w:tab/>
        <w:t>Base de datos (¿?)</w:t>
      </w:r>
    </w:p>
    <w:p w:rsidR="00AB4DA2" w:rsidRDefault="00AB4DA2" w:rsidP="003B64B0">
      <w:pPr>
        <w:spacing w:after="0" w:line="240" w:lineRule="auto"/>
      </w:pPr>
    </w:p>
    <w:p w:rsidR="005F3738" w:rsidRDefault="005F3738" w:rsidP="003B64B0">
      <w:pPr>
        <w:spacing w:after="0" w:line="240" w:lineRule="auto"/>
      </w:pPr>
    </w:p>
    <w:p w:rsidR="003B64B0" w:rsidRPr="002A7726" w:rsidRDefault="002A7726" w:rsidP="003B64B0">
      <w:pPr>
        <w:spacing w:after="0" w:line="240" w:lineRule="auto"/>
        <w:rPr>
          <w:b/>
        </w:rPr>
      </w:pPr>
      <w:r w:rsidRPr="002A7726">
        <w:rPr>
          <w:b/>
        </w:rPr>
        <w:t>2. Aplicación del m</w:t>
      </w:r>
      <w:r w:rsidR="003B64B0" w:rsidRPr="002A7726">
        <w:rPr>
          <w:b/>
        </w:rPr>
        <w:t>odelo DINA Clásico</w:t>
      </w:r>
    </w:p>
    <w:p w:rsidR="003B64B0" w:rsidRDefault="003B64B0" w:rsidP="003B64B0">
      <w:pPr>
        <w:spacing w:after="0" w:line="240" w:lineRule="auto"/>
      </w:pPr>
      <w:r>
        <w:tab/>
        <w:t>Estimación de parámetros por Máxima Verosimilitud</w:t>
      </w:r>
    </w:p>
    <w:p w:rsidR="003B64B0" w:rsidRDefault="003B64B0" w:rsidP="003B64B0">
      <w:pPr>
        <w:spacing w:after="0" w:line="240" w:lineRule="auto"/>
      </w:pPr>
      <w:r>
        <w:lastRenderedPageBreak/>
        <w:tab/>
        <w:t>Código</w:t>
      </w:r>
    </w:p>
    <w:p w:rsidR="002A7726" w:rsidRDefault="002A7726" w:rsidP="003B64B0">
      <w:pPr>
        <w:spacing w:after="0" w:line="240" w:lineRule="auto"/>
        <w:rPr>
          <w:b/>
        </w:rPr>
      </w:pPr>
    </w:p>
    <w:p w:rsidR="003B64B0" w:rsidRPr="002A7726" w:rsidRDefault="002A7726" w:rsidP="003B64B0">
      <w:pPr>
        <w:spacing w:after="0" w:line="240" w:lineRule="auto"/>
        <w:rPr>
          <w:b/>
        </w:rPr>
      </w:pPr>
      <w:r w:rsidRPr="002A7726">
        <w:rPr>
          <w:b/>
        </w:rPr>
        <w:t>3. Aplicación bayesiana del modelo DINA</w:t>
      </w:r>
    </w:p>
    <w:p w:rsidR="003B64B0" w:rsidRPr="002A7726" w:rsidRDefault="003B64B0" w:rsidP="003B64B0">
      <w:pPr>
        <w:spacing w:after="0" w:line="240" w:lineRule="auto"/>
        <w:rPr>
          <w:lang w:val="en-US"/>
        </w:rPr>
      </w:pPr>
      <w:r w:rsidRPr="002A7726">
        <w:tab/>
      </w:r>
      <w:proofErr w:type="spellStart"/>
      <w:r w:rsidRPr="002A7726">
        <w:rPr>
          <w:lang w:val="en-US"/>
        </w:rPr>
        <w:t>Código</w:t>
      </w:r>
      <w:proofErr w:type="spellEnd"/>
    </w:p>
    <w:p w:rsidR="003B64B0" w:rsidRPr="002A7726" w:rsidRDefault="003B64B0" w:rsidP="003B64B0">
      <w:pPr>
        <w:spacing w:after="0" w:line="240" w:lineRule="auto"/>
        <w:rPr>
          <w:lang w:val="en-US"/>
        </w:rPr>
      </w:pPr>
    </w:p>
    <w:p w:rsidR="003B64B0" w:rsidRPr="002A7726" w:rsidRDefault="002A7726" w:rsidP="003B64B0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4. </w:t>
      </w:r>
      <w:proofErr w:type="spellStart"/>
      <w:r w:rsidR="003B64B0" w:rsidRPr="002A7726">
        <w:rPr>
          <w:b/>
          <w:lang w:val="en-US"/>
        </w:rPr>
        <w:t>Referencias</w:t>
      </w:r>
      <w:proofErr w:type="spellEnd"/>
    </w:p>
    <w:p w:rsidR="00B60FF0" w:rsidRPr="00B60FF0" w:rsidRDefault="00B60FF0" w:rsidP="002708EF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Culpepper, S. A. (2015). Bayesian estimation of the DINA model with Gibbs sampling.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Educational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Behavioral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Statistics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454-476.</w:t>
      </w:r>
    </w:p>
    <w:p w:rsidR="00B60FF0" w:rsidRPr="00B60FF0" w:rsidRDefault="00B60FF0" w:rsidP="002708EF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DeCarlo</w:t>
      </w:r>
      <w:proofErr w:type="spellEnd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L. T. (2011). On the analysis of fraction subtraction data: The DINA model, classification, latent class sizes, and the Q-matrix.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8-26.</w:t>
      </w:r>
    </w:p>
    <w:p w:rsidR="00B60FF0" w:rsidRPr="00B60FF0" w:rsidRDefault="00B60FF0" w:rsidP="002708EF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DeCarlo</w:t>
      </w:r>
      <w:proofErr w:type="spellEnd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L. T. (2012). Recognizing uncertainty in the Q-matrix via a Bayesian extension of the DINA model.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447-468.</w:t>
      </w:r>
    </w:p>
    <w:p w:rsidR="00B60FF0" w:rsidRPr="00AB4DA2" w:rsidRDefault="00B60FF0" w:rsidP="002708EF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 La Torre, J. (2008). An empirically based method of Q</w:t>
      </w:r>
      <w:r w:rsidRPr="00B60FF0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matrix validation for the DINA model: Development and applications.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educational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343-362.</w:t>
      </w:r>
    </w:p>
    <w:p w:rsidR="00AB4DA2" w:rsidRPr="00B60FF0" w:rsidRDefault="00AB4DA2" w:rsidP="002708EF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 La Torre, J. (2009). A cognitive diagnosis model for cognitively based multiple-choice options. </w:t>
      </w:r>
      <w:r w:rsidRPr="00AB4DA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Applied Psychological Measurement</w:t>
      </w:r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 </w:t>
      </w:r>
      <w:r w:rsidRPr="00AB4DA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33</w:t>
      </w:r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(3), 163-183.</w:t>
      </w:r>
    </w:p>
    <w:p w:rsidR="00B60FF0" w:rsidRPr="00AB4DA2" w:rsidRDefault="00B60FF0" w:rsidP="00FE2C5D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 La Torre, J. (2009). DINA </w:t>
      </w:r>
      <w:proofErr w:type="spellStart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>model</w:t>
      </w:r>
      <w:proofErr w:type="spellEnd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>parameter</w:t>
      </w:r>
      <w:proofErr w:type="spellEnd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>estimation</w:t>
      </w:r>
      <w:proofErr w:type="spellEnd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 </w:t>
      </w:r>
      <w:proofErr w:type="spellStart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>didactic</w:t>
      </w:r>
      <w:proofErr w:type="spellEnd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educational</w:t>
      </w:r>
      <w:proofErr w:type="spellEnd"/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behavioral</w:t>
      </w:r>
      <w:proofErr w:type="spellEnd"/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statistics</w:t>
      </w:r>
      <w:proofErr w:type="spellEnd"/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B60FF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34</w:t>
      </w:r>
      <w:r w:rsidRPr="00B60FF0"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115-130.</w:t>
      </w:r>
    </w:p>
    <w:p w:rsidR="00AB4DA2" w:rsidRPr="00AB4DA2" w:rsidRDefault="00AB4DA2" w:rsidP="00FE2C5D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 La Torre, J. (2011).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generalized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DINA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Psychometrika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179-199.</w:t>
      </w:r>
    </w:p>
    <w:p w:rsidR="00AB4DA2" w:rsidRPr="00AB4DA2" w:rsidRDefault="00AB4DA2" w:rsidP="00FE2C5D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Huang, H. Y., &amp; Wang, W. C. (2014). The random</w:t>
      </w:r>
      <w:r w:rsidRPr="00AB4DA2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effect DINA model.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Educational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75-97.</w:t>
      </w:r>
    </w:p>
    <w:p w:rsidR="00AB4DA2" w:rsidRDefault="00AB4DA2" w:rsidP="00FE2C5D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Myung, I. J. (2003). Tutorial on maximum likelihood estimation.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mathematical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90-100.</w:t>
      </w:r>
    </w:p>
    <w:p w:rsidR="004A479C" w:rsidRDefault="004A479C" w:rsidP="00FE2C5D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B60FF0">
        <w:rPr>
          <w:lang w:val="en-US"/>
        </w:rPr>
        <w:t>Robitzsch</w:t>
      </w:r>
      <w:proofErr w:type="spellEnd"/>
      <w:r w:rsidRPr="00B60FF0">
        <w:rPr>
          <w:lang w:val="en-US"/>
        </w:rPr>
        <w:t xml:space="preserve">, A., Kiefer, T., George, A., </w:t>
      </w:r>
      <w:proofErr w:type="spellStart"/>
      <w:r w:rsidRPr="00B60FF0">
        <w:rPr>
          <w:lang w:val="en-US"/>
        </w:rPr>
        <w:t>Uenlue</w:t>
      </w:r>
      <w:proofErr w:type="spellEnd"/>
      <w:r w:rsidRPr="00B60FF0">
        <w:rPr>
          <w:lang w:val="en-US"/>
        </w:rPr>
        <w:t xml:space="preserve">, A., and </w:t>
      </w:r>
      <w:proofErr w:type="spellStart"/>
      <w:r w:rsidRPr="00B60FF0">
        <w:rPr>
          <w:lang w:val="en-US"/>
        </w:rPr>
        <w:t>Robitzsch</w:t>
      </w:r>
      <w:proofErr w:type="spellEnd"/>
      <w:r w:rsidRPr="00B60FF0">
        <w:rPr>
          <w:lang w:val="en-US"/>
        </w:rPr>
        <w:t xml:space="preserve">, M. (2012). Package CDM. </w:t>
      </w:r>
      <w:hyperlink r:id="rId5" w:history="1">
        <w:r w:rsidR="002708EF" w:rsidRPr="00B60FF0">
          <w:rPr>
            <w:rStyle w:val="Hipervnculo"/>
            <w:lang w:val="en-US"/>
          </w:rPr>
          <w:t>http://cran.rproject.org/web/packages/CDM/index.html</w:t>
        </w:r>
      </w:hyperlink>
      <w:r w:rsidRPr="00B60FF0">
        <w:rPr>
          <w:lang w:val="en-US"/>
        </w:rPr>
        <w:t>.</w:t>
      </w:r>
    </w:p>
    <w:p w:rsidR="00AB4DA2" w:rsidRPr="00B60FF0" w:rsidRDefault="00AB4DA2" w:rsidP="00FE2C5D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proofErr w:type="gramStart"/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von</w:t>
      </w:r>
      <w:proofErr w:type="gramEnd"/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Davier</w:t>
      </w:r>
      <w:proofErr w:type="spellEnd"/>
      <w:r w:rsidRPr="00AB4DA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M. (2014). The DINA model as a constrained general diagnostic model: Two variants of a model equivalency.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British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Mathematical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Statistical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49-71.</w:t>
      </w:r>
    </w:p>
    <w:p w:rsidR="002708EF" w:rsidRPr="002708EF" w:rsidRDefault="002708EF" w:rsidP="002708EF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2708EF">
        <w:rPr>
          <w:rFonts w:ascii="Arial" w:hAnsi="Arial" w:cs="Arial"/>
          <w:color w:val="111111"/>
          <w:sz w:val="21"/>
          <w:szCs w:val="21"/>
          <w:lang w:val="en-US"/>
        </w:rPr>
        <w:t xml:space="preserve">Zhan, P. (2017). Using JAGS for Bayesian cognitive diagnosis models: A tutorial. </w:t>
      </w:r>
      <w:proofErr w:type="spellStart"/>
      <w:proofErr w:type="gramStart"/>
      <w:r w:rsidRPr="002708EF">
        <w:rPr>
          <w:rFonts w:ascii="Arial" w:hAnsi="Arial" w:cs="Arial"/>
          <w:color w:val="111111"/>
          <w:sz w:val="21"/>
          <w:szCs w:val="21"/>
          <w:lang w:val="en-US"/>
        </w:rPr>
        <w:t>arXiv</w:t>
      </w:r>
      <w:proofErr w:type="spellEnd"/>
      <w:proofErr w:type="gramEnd"/>
      <w:r w:rsidRPr="002708EF">
        <w:rPr>
          <w:rFonts w:ascii="Arial" w:hAnsi="Arial" w:cs="Arial"/>
          <w:color w:val="111111"/>
          <w:sz w:val="21"/>
          <w:szCs w:val="21"/>
          <w:lang w:val="en-US"/>
        </w:rPr>
        <w:t xml:space="preserve"> preprint arXiv:1708.02632. </w:t>
      </w:r>
      <w:r>
        <w:rPr>
          <w:rFonts w:ascii="Arial" w:hAnsi="Arial" w:cs="Arial"/>
          <w:color w:val="111111"/>
          <w:sz w:val="21"/>
          <w:szCs w:val="21"/>
        </w:rPr>
        <w:t>URL </w:t>
      </w:r>
      <w:hyperlink r:id="rId6" w:tgtFrame="_blank" w:history="1">
        <w:r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</w:rPr>
          <w:t>https://arxiv.org/abs/1708.02632</w:t>
        </w:r>
      </w:hyperlink>
    </w:p>
    <w:sectPr w:rsidR="002708EF" w:rsidRPr="002708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P6F0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6F0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C2498"/>
    <w:multiLevelType w:val="hybridMultilevel"/>
    <w:tmpl w:val="3566E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67"/>
    <w:rsid w:val="002708EF"/>
    <w:rsid w:val="002A7726"/>
    <w:rsid w:val="003B64B0"/>
    <w:rsid w:val="003B7E0A"/>
    <w:rsid w:val="004A479C"/>
    <w:rsid w:val="004B5BF5"/>
    <w:rsid w:val="005E404E"/>
    <w:rsid w:val="005F3738"/>
    <w:rsid w:val="00821048"/>
    <w:rsid w:val="00AB4DA2"/>
    <w:rsid w:val="00B60FF0"/>
    <w:rsid w:val="00D254F3"/>
    <w:rsid w:val="00D76652"/>
    <w:rsid w:val="00E30F67"/>
    <w:rsid w:val="00F24AF5"/>
    <w:rsid w:val="00F4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62DE6-6A7A-4988-87F3-F53C6718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4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08EF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210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deref/https%3A%2F%2Farxiv.org%2Fabs%2F1708.02632" TargetMode="External"/><Relationship Id="rId5" Type="http://schemas.openxmlformats.org/officeDocument/2006/relationships/hyperlink" Target="http://cran.rproject.org/web/packages/CD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787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9</cp:revision>
  <dcterms:created xsi:type="dcterms:W3CDTF">2019-01-14T23:04:00Z</dcterms:created>
  <dcterms:modified xsi:type="dcterms:W3CDTF">2019-01-15T00:59:00Z</dcterms:modified>
</cp:coreProperties>
</file>