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092E" w14:textId="77777777" w:rsidR="00661B99" w:rsidRDefault="00661B99" w:rsidP="00A7447C">
      <w:pPr>
        <w:spacing w:after="0"/>
        <w:jc w:val="center"/>
        <w:rPr>
          <w:color w:val="1F3864" w:themeColor="accent5" w:themeShade="80"/>
          <w:sz w:val="28"/>
          <w:szCs w:val="28"/>
        </w:rPr>
      </w:pPr>
    </w:p>
    <w:p w14:paraId="14F15378" w14:textId="77777777" w:rsidR="00661B99" w:rsidRDefault="00661B99" w:rsidP="00A7447C">
      <w:pPr>
        <w:spacing w:after="0"/>
        <w:jc w:val="center"/>
        <w:rPr>
          <w:color w:val="1F3864" w:themeColor="accent5" w:themeShade="80"/>
          <w:sz w:val="28"/>
          <w:szCs w:val="28"/>
        </w:rPr>
      </w:pPr>
    </w:p>
    <w:p w14:paraId="0B94465A" w14:textId="77777777" w:rsidR="00661B99" w:rsidRDefault="00661B99" w:rsidP="00A7447C">
      <w:pPr>
        <w:spacing w:after="0"/>
        <w:jc w:val="center"/>
        <w:rPr>
          <w:color w:val="1F3864" w:themeColor="accent5" w:themeShade="80"/>
          <w:sz w:val="28"/>
          <w:szCs w:val="28"/>
        </w:rPr>
      </w:pPr>
    </w:p>
    <w:p w14:paraId="22427377" w14:textId="77777777" w:rsidR="00661B99" w:rsidRDefault="00661B99" w:rsidP="00A7447C">
      <w:pPr>
        <w:spacing w:after="0"/>
        <w:jc w:val="center"/>
        <w:rPr>
          <w:color w:val="1F3864" w:themeColor="accent5" w:themeShade="80"/>
          <w:sz w:val="28"/>
          <w:szCs w:val="28"/>
        </w:rPr>
      </w:pPr>
    </w:p>
    <w:p w14:paraId="42C9FEAA" w14:textId="77777777" w:rsidR="00661B99" w:rsidRDefault="00661B99" w:rsidP="00A7447C">
      <w:pPr>
        <w:spacing w:after="0"/>
        <w:jc w:val="center"/>
        <w:rPr>
          <w:color w:val="1F3864" w:themeColor="accent5" w:themeShade="80"/>
          <w:sz w:val="28"/>
          <w:szCs w:val="28"/>
        </w:rPr>
      </w:pPr>
    </w:p>
    <w:p w14:paraId="3952AD58" w14:textId="77777777" w:rsidR="00661B99" w:rsidRDefault="00661B99" w:rsidP="00A7447C">
      <w:pPr>
        <w:spacing w:after="0"/>
        <w:jc w:val="center"/>
        <w:rPr>
          <w:color w:val="1F3864" w:themeColor="accent5" w:themeShade="80"/>
          <w:sz w:val="28"/>
          <w:szCs w:val="28"/>
        </w:rPr>
      </w:pPr>
    </w:p>
    <w:p w14:paraId="6E9CFC40" w14:textId="77777777" w:rsidR="00661B99" w:rsidRDefault="00661B99" w:rsidP="00A7447C">
      <w:pPr>
        <w:spacing w:after="0"/>
        <w:jc w:val="center"/>
        <w:rPr>
          <w:color w:val="1F3864" w:themeColor="accent5" w:themeShade="80"/>
          <w:sz w:val="28"/>
          <w:szCs w:val="28"/>
        </w:rPr>
      </w:pPr>
    </w:p>
    <w:p w14:paraId="0CD4CFE1" w14:textId="77777777" w:rsidR="00661B99" w:rsidRDefault="00661B99" w:rsidP="00A7447C">
      <w:pPr>
        <w:spacing w:after="0"/>
        <w:jc w:val="center"/>
        <w:rPr>
          <w:color w:val="1F3864" w:themeColor="accent5" w:themeShade="80"/>
          <w:sz w:val="28"/>
          <w:szCs w:val="28"/>
        </w:rPr>
      </w:pPr>
    </w:p>
    <w:p w14:paraId="7F1F5CC3" w14:textId="77777777" w:rsidR="00661B99" w:rsidRDefault="00661B99" w:rsidP="00A7447C">
      <w:pPr>
        <w:spacing w:after="0"/>
        <w:jc w:val="center"/>
        <w:rPr>
          <w:color w:val="1F3864" w:themeColor="accent5" w:themeShade="80"/>
          <w:sz w:val="28"/>
          <w:szCs w:val="28"/>
        </w:rPr>
      </w:pPr>
    </w:p>
    <w:p w14:paraId="57CE0FAC" w14:textId="77777777" w:rsidR="00661B99" w:rsidRDefault="00661B99" w:rsidP="00A7447C">
      <w:pPr>
        <w:spacing w:after="0"/>
        <w:jc w:val="center"/>
        <w:rPr>
          <w:color w:val="1F3864" w:themeColor="accent5" w:themeShade="80"/>
          <w:sz w:val="28"/>
          <w:szCs w:val="28"/>
        </w:rPr>
      </w:pPr>
    </w:p>
    <w:p w14:paraId="50177ED4" w14:textId="5039C7E9" w:rsidR="00A7447C" w:rsidRPr="00661B99" w:rsidRDefault="00232060" w:rsidP="00A7447C">
      <w:pPr>
        <w:spacing w:after="0"/>
        <w:jc w:val="center"/>
        <w:rPr>
          <w:color w:val="1F3864" w:themeColor="accent5" w:themeShade="80"/>
          <w:sz w:val="40"/>
          <w:szCs w:val="40"/>
        </w:rPr>
      </w:pPr>
      <w:r w:rsidRPr="00661B99">
        <w:rPr>
          <w:color w:val="1F3864" w:themeColor="accent5" w:themeShade="80"/>
          <w:sz w:val="40"/>
          <w:szCs w:val="40"/>
        </w:rPr>
        <w:t>S</w:t>
      </w:r>
      <w:r w:rsidR="005A0D96" w:rsidRPr="00661B99">
        <w:rPr>
          <w:color w:val="1F3864" w:themeColor="accent5" w:themeShade="80"/>
          <w:sz w:val="40"/>
          <w:szCs w:val="40"/>
        </w:rPr>
        <w:t xml:space="preserve">istema de Apreciación de conocimientos y </w:t>
      </w:r>
      <w:r w:rsidR="00A7447C" w:rsidRPr="00661B99">
        <w:rPr>
          <w:color w:val="1F3864" w:themeColor="accent5" w:themeShade="80"/>
          <w:sz w:val="40"/>
          <w:szCs w:val="40"/>
        </w:rPr>
        <w:t>aptitudes</w:t>
      </w:r>
      <w:r w:rsidR="00661B99" w:rsidRPr="00661B99">
        <w:rPr>
          <w:color w:val="1F3864" w:themeColor="accent5" w:themeShade="80"/>
          <w:sz w:val="40"/>
          <w:szCs w:val="40"/>
        </w:rPr>
        <w:t xml:space="preserve"> SISAP</w:t>
      </w:r>
    </w:p>
    <w:p w14:paraId="0B73B7E8" w14:textId="3896933B" w:rsidR="00661B99" w:rsidRDefault="005A0D96" w:rsidP="00661B99">
      <w:pPr>
        <w:spacing w:after="0"/>
        <w:jc w:val="center"/>
        <w:rPr>
          <w:color w:val="1F3864" w:themeColor="accent5" w:themeShade="80"/>
          <w:sz w:val="28"/>
          <w:szCs w:val="28"/>
        </w:rPr>
      </w:pPr>
      <w:r w:rsidRPr="00A7447C">
        <w:rPr>
          <w:color w:val="1F3864" w:themeColor="accent5" w:themeShade="80"/>
          <w:sz w:val="28"/>
          <w:szCs w:val="28"/>
        </w:rPr>
        <w:t>Ficha técnica por instrumento de apreciación</w:t>
      </w:r>
      <w:r w:rsidR="00661B99">
        <w:rPr>
          <w:color w:val="1F3864" w:themeColor="accent5" w:themeShade="80"/>
          <w:sz w:val="28"/>
          <w:szCs w:val="28"/>
        </w:rPr>
        <w:t xml:space="preserve"> para los procesos de selección para la Admisión y la Promoción vertical.</w:t>
      </w:r>
    </w:p>
    <w:p w14:paraId="770325B8" w14:textId="4ECAED6B" w:rsidR="00661B99" w:rsidRDefault="00661B99" w:rsidP="00A7447C">
      <w:pPr>
        <w:spacing w:after="0"/>
        <w:jc w:val="center"/>
        <w:rPr>
          <w:color w:val="1F3864" w:themeColor="accent5" w:themeShade="80"/>
          <w:sz w:val="28"/>
          <w:szCs w:val="28"/>
        </w:rPr>
      </w:pPr>
    </w:p>
    <w:p w14:paraId="5A02F929" w14:textId="3F1D8B30" w:rsidR="00661B99" w:rsidRDefault="00661B99" w:rsidP="00A7447C">
      <w:pPr>
        <w:spacing w:after="0"/>
        <w:jc w:val="center"/>
        <w:rPr>
          <w:color w:val="1F3864" w:themeColor="accent5" w:themeShade="80"/>
          <w:sz w:val="28"/>
          <w:szCs w:val="28"/>
        </w:rPr>
      </w:pPr>
    </w:p>
    <w:p w14:paraId="6B717C7D" w14:textId="7BC1AF42" w:rsidR="00661B99" w:rsidRDefault="00661B99" w:rsidP="00A7447C">
      <w:pPr>
        <w:spacing w:after="0"/>
        <w:jc w:val="center"/>
        <w:rPr>
          <w:color w:val="1F3864" w:themeColor="accent5" w:themeShade="80"/>
          <w:sz w:val="28"/>
          <w:szCs w:val="28"/>
        </w:rPr>
      </w:pPr>
    </w:p>
    <w:p w14:paraId="506D6DE3" w14:textId="111D817F" w:rsidR="00661B99" w:rsidRDefault="00661B99" w:rsidP="00A7447C">
      <w:pPr>
        <w:spacing w:after="0"/>
        <w:jc w:val="center"/>
        <w:rPr>
          <w:color w:val="1F3864" w:themeColor="accent5" w:themeShade="80"/>
          <w:sz w:val="28"/>
          <w:szCs w:val="28"/>
        </w:rPr>
      </w:pPr>
    </w:p>
    <w:p w14:paraId="33FDAB6C" w14:textId="25A61040" w:rsidR="00661B99" w:rsidRDefault="00661B99" w:rsidP="00A7447C">
      <w:pPr>
        <w:spacing w:after="0"/>
        <w:jc w:val="center"/>
        <w:rPr>
          <w:color w:val="1F3864" w:themeColor="accent5" w:themeShade="80"/>
          <w:sz w:val="28"/>
          <w:szCs w:val="28"/>
        </w:rPr>
      </w:pPr>
    </w:p>
    <w:p w14:paraId="6ECA1BB3" w14:textId="5A95818F" w:rsidR="00661B99" w:rsidRDefault="00661B99" w:rsidP="00A7447C">
      <w:pPr>
        <w:spacing w:after="0"/>
        <w:jc w:val="center"/>
        <w:rPr>
          <w:color w:val="1F3864" w:themeColor="accent5" w:themeShade="80"/>
          <w:sz w:val="28"/>
          <w:szCs w:val="28"/>
        </w:rPr>
      </w:pPr>
    </w:p>
    <w:p w14:paraId="34983B91" w14:textId="4F3203BD" w:rsidR="00661B99" w:rsidRDefault="00661B99" w:rsidP="00A7447C">
      <w:pPr>
        <w:spacing w:after="0"/>
        <w:jc w:val="center"/>
        <w:rPr>
          <w:color w:val="1F3864" w:themeColor="accent5" w:themeShade="80"/>
          <w:sz w:val="28"/>
          <w:szCs w:val="28"/>
        </w:rPr>
      </w:pPr>
    </w:p>
    <w:p w14:paraId="4CC6503D" w14:textId="6F01012F" w:rsidR="00661B99" w:rsidRDefault="00661B99" w:rsidP="00A7447C">
      <w:pPr>
        <w:spacing w:after="0"/>
        <w:jc w:val="center"/>
        <w:rPr>
          <w:color w:val="1F3864" w:themeColor="accent5" w:themeShade="80"/>
          <w:sz w:val="28"/>
          <w:szCs w:val="28"/>
        </w:rPr>
      </w:pPr>
    </w:p>
    <w:p w14:paraId="14975DCA" w14:textId="0DF5CFA6" w:rsidR="00661B99" w:rsidRDefault="00661B99" w:rsidP="00A7447C">
      <w:pPr>
        <w:spacing w:after="0"/>
        <w:jc w:val="center"/>
        <w:rPr>
          <w:color w:val="1F3864" w:themeColor="accent5" w:themeShade="80"/>
          <w:sz w:val="28"/>
          <w:szCs w:val="28"/>
        </w:rPr>
      </w:pPr>
    </w:p>
    <w:p w14:paraId="2A2BCECD" w14:textId="6DA94A7D" w:rsidR="00661B99" w:rsidRDefault="00661B99" w:rsidP="00A7447C">
      <w:pPr>
        <w:spacing w:after="0"/>
        <w:jc w:val="center"/>
        <w:rPr>
          <w:color w:val="1F3864" w:themeColor="accent5" w:themeShade="80"/>
          <w:sz w:val="28"/>
          <w:szCs w:val="28"/>
        </w:rPr>
      </w:pPr>
    </w:p>
    <w:p w14:paraId="129B8A36" w14:textId="7411E333" w:rsidR="00661B99" w:rsidRDefault="00661B99" w:rsidP="00A7447C">
      <w:pPr>
        <w:spacing w:after="0"/>
        <w:jc w:val="center"/>
        <w:rPr>
          <w:color w:val="1F3864" w:themeColor="accent5" w:themeShade="80"/>
          <w:sz w:val="28"/>
          <w:szCs w:val="28"/>
        </w:rPr>
      </w:pPr>
    </w:p>
    <w:p w14:paraId="6D461476" w14:textId="348BD34D" w:rsidR="00661B99" w:rsidRDefault="00661B99" w:rsidP="00A7447C">
      <w:pPr>
        <w:spacing w:after="0"/>
        <w:jc w:val="center"/>
        <w:rPr>
          <w:color w:val="1F3864" w:themeColor="accent5" w:themeShade="80"/>
          <w:sz w:val="28"/>
          <w:szCs w:val="28"/>
        </w:rPr>
      </w:pPr>
    </w:p>
    <w:p w14:paraId="7336021E" w14:textId="79FC2E3C" w:rsidR="00661B99" w:rsidRDefault="00661B99" w:rsidP="00A7447C">
      <w:pPr>
        <w:spacing w:after="0"/>
        <w:jc w:val="center"/>
        <w:rPr>
          <w:color w:val="1F3864" w:themeColor="accent5" w:themeShade="80"/>
          <w:sz w:val="28"/>
          <w:szCs w:val="28"/>
        </w:rPr>
      </w:pPr>
    </w:p>
    <w:p w14:paraId="5A869F05" w14:textId="798F59F4" w:rsidR="00661B99" w:rsidRDefault="00661B99" w:rsidP="00A7447C">
      <w:pPr>
        <w:spacing w:after="0"/>
        <w:jc w:val="center"/>
        <w:rPr>
          <w:color w:val="1F3864" w:themeColor="accent5" w:themeShade="80"/>
          <w:sz w:val="28"/>
          <w:szCs w:val="28"/>
        </w:rPr>
      </w:pPr>
    </w:p>
    <w:p w14:paraId="0B7AEF5D" w14:textId="063D70DF" w:rsidR="00661B99" w:rsidRDefault="00661B99" w:rsidP="00A7447C">
      <w:pPr>
        <w:spacing w:after="0"/>
        <w:jc w:val="center"/>
        <w:rPr>
          <w:color w:val="1F3864" w:themeColor="accent5" w:themeShade="80"/>
          <w:sz w:val="28"/>
          <w:szCs w:val="28"/>
        </w:rPr>
      </w:pPr>
    </w:p>
    <w:p w14:paraId="7E1FC352" w14:textId="2395165B" w:rsidR="00661B99" w:rsidRDefault="00661B99" w:rsidP="00A7447C">
      <w:pPr>
        <w:spacing w:after="0"/>
        <w:jc w:val="center"/>
        <w:rPr>
          <w:color w:val="1F3864" w:themeColor="accent5" w:themeShade="80"/>
          <w:sz w:val="28"/>
          <w:szCs w:val="28"/>
        </w:rPr>
      </w:pPr>
    </w:p>
    <w:p w14:paraId="29875463" w14:textId="47BD1DB3" w:rsidR="00661B99" w:rsidRDefault="00661B99" w:rsidP="00A7447C">
      <w:pPr>
        <w:spacing w:after="0"/>
        <w:jc w:val="center"/>
        <w:rPr>
          <w:color w:val="1F3864" w:themeColor="accent5" w:themeShade="80"/>
          <w:sz w:val="28"/>
          <w:szCs w:val="28"/>
        </w:rPr>
      </w:pPr>
    </w:p>
    <w:p w14:paraId="3D293DA9" w14:textId="722F49DE" w:rsidR="00661B99" w:rsidRDefault="00661B99" w:rsidP="00A7447C">
      <w:pPr>
        <w:spacing w:after="0"/>
        <w:jc w:val="center"/>
        <w:rPr>
          <w:color w:val="1F3864" w:themeColor="accent5" w:themeShade="80"/>
          <w:sz w:val="28"/>
          <w:szCs w:val="28"/>
        </w:rPr>
      </w:pPr>
    </w:p>
    <w:p w14:paraId="1B31C2CF" w14:textId="5F0B4E19" w:rsidR="00661B99" w:rsidRDefault="00661B99" w:rsidP="00A7447C">
      <w:pPr>
        <w:spacing w:after="0"/>
        <w:jc w:val="center"/>
        <w:rPr>
          <w:color w:val="1F3864" w:themeColor="accent5" w:themeShade="80"/>
          <w:sz w:val="28"/>
          <w:szCs w:val="28"/>
        </w:rPr>
      </w:pPr>
    </w:p>
    <w:p w14:paraId="4FBFF930" w14:textId="12C773B1" w:rsidR="00661B99" w:rsidRDefault="00661B99" w:rsidP="00A7447C">
      <w:pPr>
        <w:spacing w:after="0"/>
        <w:jc w:val="center"/>
        <w:rPr>
          <w:color w:val="1F3864" w:themeColor="accent5" w:themeShade="80"/>
          <w:sz w:val="28"/>
          <w:szCs w:val="28"/>
        </w:rPr>
      </w:pPr>
    </w:p>
    <w:p w14:paraId="08AE0B32" w14:textId="17F031FE" w:rsidR="00661B99" w:rsidRDefault="00661B99" w:rsidP="00A7447C">
      <w:pPr>
        <w:spacing w:after="0"/>
        <w:jc w:val="center"/>
        <w:rPr>
          <w:color w:val="1F3864" w:themeColor="accent5" w:themeShade="80"/>
          <w:sz w:val="28"/>
          <w:szCs w:val="28"/>
        </w:rPr>
      </w:pPr>
    </w:p>
    <w:p w14:paraId="6621ACA9" w14:textId="4C462BC7"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Admisión</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7B3B46" w14:paraId="516F60ED" w14:textId="77777777" w:rsidTr="00A7447C">
        <w:trPr>
          <w:trHeight w:val="309"/>
        </w:trPr>
        <w:tc>
          <w:tcPr>
            <w:tcW w:w="1980" w:type="dxa"/>
            <w:shd w:val="clear" w:color="auto" w:fill="E2EFD9" w:themeFill="accent6" w:themeFillTint="33"/>
            <w:vAlign w:val="center"/>
          </w:tcPr>
          <w:p w14:paraId="55B3BE37"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Rubro</w:t>
            </w:r>
          </w:p>
        </w:tc>
        <w:tc>
          <w:tcPr>
            <w:tcW w:w="9214" w:type="dxa"/>
            <w:shd w:val="clear" w:color="auto" w:fill="E2EFD9" w:themeFill="accent6" w:themeFillTint="33"/>
            <w:vAlign w:val="center"/>
          </w:tcPr>
          <w:p w14:paraId="6B9515BA" w14:textId="77777777" w:rsidR="007B3B46" w:rsidRPr="00AE2E9D" w:rsidRDefault="007B3B46" w:rsidP="007B3B46">
            <w:pPr>
              <w:jc w:val="center"/>
              <w:rPr>
                <w:color w:val="1F3864" w:themeColor="accent5" w:themeShade="80"/>
                <w:sz w:val="30"/>
                <w:szCs w:val="30"/>
              </w:rPr>
            </w:pPr>
            <w:r w:rsidRPr="00AE2E9D">
              <w:rPr>
                <w:color w:val="1F3864" w:themeColor="accent5" w:themeShade="80"/>
                <w:sz w:val="30"/>
                <w:szCs w:val="30"/>
              </w:rPr>
              <w:t>Descripción</w:t>
            </w:r>
          </w:p>
        </w:tc>
      </w:tr>
      <w:tr w:rsidR="005A0D96" w14:paraId="58031D12" w14:textId="77777777" w:rsidTr="00A7447C">
        <w:trPr>
          <w:trHeight w:val="565"/>
        </w:trPr>
        <w:tc>
          <w:tcPr>
            <w:tcW w:w="1980" w:type="dxa"/>
            <w:shd w:val="clear" w:color="auto" w:fill="E2EFD9" w:themeFill="accent6" w:themeFillTint="33"/>
            <w:vAlign w:val="center"/>
          </w:tcPr>
          <w:p w14:paraId="38E654B7" w14:textId="77B6B26B" w:rsidR="005A0D96" w:rsidRPr="00A7447C" w:rsidRDefault="00D57209" w:rsidP="00232060">
            <w:pPr>
              <w:rPr>
                <w:color w:val="1F3864" w:themeColor="accent5" w:themeShade="80"/>
              </w:rPr>
            </w:pPr>
            <w:r>
              <w:rPr>
                <w:color w:val="1F3864" w:themeColor="accent5" w:themeShade="80"/>
              </w:rPr>
              <w:t>Proceso</w:t>
            </w:r>
          </w:p>
        </w:tc>
        <w:tc>
          <w:tcPr>
            <w:tcW w:w="9214" w:type="dxa"/>
            <w:vAlign w:val="center"/>
          </w:tcPr>
          <w:p w14:paraId="774CCA8B" w14:textId="15EE1DA5" w:rsidR="005A0D96" w:rsidRPr="00D57209" w:rsidRDefault="00D57209" w:rsidP="00D57209">
            <w:pPr>
              <w:jc w:val="center"/>
            </w:pPr>
            <w:r w:rsidRPr="00D57209">
              <w:t>Proceso de selección para la Admisión a las funciones Docente y Técnico Docente</w:t>
            </w:r>
          </w:p>
        </w:tc>
      </w:tr>
      <w:tr w:rsidR="00283A2C" w14:paraId="4A415DCF" w14:textId="77777777" w:rsidTr="00A7447C">
        <w:trPr>
          <w:trHeight w:val="425"/>
        </w:trPr>
        <w:tc>
          <w:tcPr>
            <w:tcW w:w="1980" w:type="dxa"/>
            <w:shd w:val="clear" w:color="auto" w:fill="E2EFD9" w:themeFill="accent6" w:themeFillTint="33"/>
            <w:vAlign w:val="center"/>
          </w:tcPr>
          <w:p w14:paraId="664293D7" w14:textId="77777777" w:rsidR="00283A2C" w:rsidRPr="00A7447C" w:rsidRDefault="00A7447C" w:rsidP="005A0D96">
            <w:pPr>
              <w:rPr>
                <w:color w:val="1F3864" w:themeColor="accent5" w:themeShade="80"/>
              </w:rPr>
            </w:pPr>
            <w:r>
              <w:rPr>
                <w:color w:val="1F3864" w:themeColor="accent5" w:themeShade="80"/>
              </w:rPr>
              <w:t>I</w:t>
            </w:r>
            <w:r w:rsidR="00283A2C" w:rsidRPr="00A7447C">
              <w:rPr>
                <w:color w:val="1F3864" w:themeColor="accent5" w:themeShade="80"/>
              </w:rPr>
              <w:t>nicio de operación</w:t>
            </w:r>
          </w:p>
        </w:tc>
        <w:tc>
          <w:tcPr>
            <w:tcW w:w="9214" w:type="dxa"/>
            <w:vAlign w:val="center"/>
          </w:tcPr>
          <w:p w14:paraId="232E8216" w14:textId="77777777" w:rsidR="00283A2C" w:rsidRPr="00A7447C" w:rsidRDefault="00426081" w:rsidP="00426081">
            <w:r w:rsidRPr="00A7447C">
              <w:t xml:space="preserve">Septiembre de </w:t>
            </w:r>
            <w:r w:rsidR="006F0544" w:rsidRPr="00A7447C">
              <w:t>2020</w:t>
            </w:r>
          </w:p>
        </w:tc>
      </w:tr>
      <w:tr w:rsidR="00283A2C" w14:paraId="7BD50D48" w14:textId="77777777" w:rsidTr="00A7447C">
        <w:trPr>
          <w:trHeight w:val="587"/>
        </w:trPr>
        <w:tc>
          <w:tcPr>
            <w:tcW w:w="1980" w:type="dxa"/>
            <w:shd w:val="clear" w:color="auto" w:fill="E2EFD9" w:themeFill="accent6" w:themeFillTint="33"/>
            <w:vAlign w:val="center"/>
          </w:tcPr>
          <w:p w14:paraId="48B8A38B" w14:textId="77777777" w:rsidR="00283A2C" w:rsidRPr="00A7447C" w:rsidRDefault="00283A2C" w:rsidP="00283A2C">
            <w:pPr>
              <w:rPr>
                <w:color w:val="1F3864" w:themeColor="accent5" w:themeShade="80"/>
              </w:rPr>
            </w:pPr>
            <w:r w:rsidRPr="00A7447C">
              <w:rPr>
                <w:color w:val="1F3864" w:themeColor="accent5" w:themeShade="80"/>
              </w:rPr>
              <w:t>Propósito</w:t>
            </w:r>
          </w:p>
        </w:tc>
        <w:tc>
          <w:tcPr>
            <w:tcW w:w="9214" w:type="dxa"/>
            <w:vAlign w:val="center"/>
          </w:tcPr>
          <w:p w14:paraId="6E66E110" w14:textId="78A3912B" w:rsidR="00283A2C" w:rsidRPr="00A7447C" w:rsidRDefault="007770A6" w:rsidP="00AE2E9D">
            <w:pPr>
              <w:jc w:val="both"/>
            </w:pPr>
            <w:r w:rsidRPr="00A7447C">
              <w:t>Valorar en l</w:t>
            </w:r>
            <w:r w:rsidR="00D57209">
              <w:t xml:space="preserve">os </w:t>
            </w:r>
            <w:r w:rsidR="00AE2E9D">
              <w:t>aspirantes que buscan ser admitidos en</w:t>
            </w:r>
            <w:r w:rsidR="00AE2E9D" w:rsidRPr="007F7CB7">
              <w:t xml:space="preserve"> la función </w:t>
            </w:r>
            <w:r w:rsidR="00AE2E9D" w:rsidRPr="00AE2E9D">
              <w:t>docente</w:t>
            </w:r>
            <w:r w:rsidR="00AE2E9D">
              <w:t xml:space="preserve"> y técnico docente</w:t>
            </w:r>
            <w:r w:rsidR="00AE2E9D" w:rsidRPr="007F7CB7">
              <w:t xml:space="preserve"> en educación básica</w:t>
            </w:r>
            <w:r w:rsidR="00AE2E9D">
              <w:t xml:space="preserve"> y media superior</w:t>
            </w:r>
            <w:r w:rsidR="00AE2E9D" w:rsidRPr="007F7CB7">
              <w:t xml:space="preserve"> cuenten con los conocimientos y las capacidades necesari</w:t>
            </w:r>
            <w:r w:rsidR="00AE2E9D">
              <w:t>o</w:t>
            </w:r>
            <w:r w:rsidR="00AE2E9D" w:rsidRPr="007F7CB7">
              <w:t>s</w:t>
            </w:r>
            <w:r w:rsidR="00AE2E9D">
              <w:t xml:space="preserve"> que </w:t>
            </w:r>
            <w:r w:rsidR="00AE2E9D" w:rsidRPr="00AE2E9D">
              <w:t>contribuyan al aprendizaje y desarrollo integral de los educandos</w:t>
            </w:r>
            <w:r w:rsidR="00AE2E9D" w:rsidRPr="007F7CB7">
              <w:t xml:space="preserve">, de acuerdo con los perfiles profesionales respectivos, así como </w:t>
            </w:r>
            <w:r w:rsidR="00AE2E9D">
              <w:t xml:space="preserve">para </w:t>
            </w:r>
            <w:r w:rsidR="00AE2E9D" w:rsidRPr="007F7CB7">
              <w:t>identificar las fortalezas y áreas de oportunidad en su desarrollo profesional</w:t>
            </w:r>
            <w:r w:rsidR="00AE2E9D">
              <w:t xml:space="preserve">. </w:t>
            </w:r>
          </w:p>
        </w:tc>
      </w:tr>
      <w:tr w:rsidR="00283A2C" w14:paraId="32B03820" w14:textId="77777777" w:rsidTr="00A7447C">
        <w:trPr>
          <w:trHeight w:val="587"/>
        </w:trPr>
        <w:tc>
          <w:tcPr>
            <w:tcW w:w="1980" w:type="dxa"/>
            <w:shd w:val="clear" w:color="auto" w:fill="E2EFD9" w:themeFill="accent6" w:themeFillTint="33"/>
            <w:vAlign w:val="center"/>
          </w:tcPr>
          <w:p w14:paraId="376B87B5" w14:textId="77777777" w:rsidR="00283A2C" w:rsidRPr="00A7447C" w:rsidRDefault="00283A2C" w:rsidP="005A0D96">
            <w:pPr>
              <w:rPr>
                <w:color w:val="1F3864" w:themeColor="accent5" w:themeShade="80"/>
              </w:rPr>
            </w:pPr>
            <w:r w:rsidRPr="00A7447C">
              <w:rPr>
                <w:color w:val="1F3864" w:themeColor="accent5" w:themeShade="80"/>
              </w:rPr>
              <w:t>Población objetivo</w:t>
            </w:r>
          </w:p>
        </w:tc>
        <w:tc>
          <w:tcPr>
            <w:tcW w:w="9214" w:type="dxa"/>
            <w:vAlign w:val="center"/>
          </w:tcPr>
          <w:p w14:paraId="598D9B38" w14:textId="40672959" w:rsidR="00283A2C" w:rsidRDefault="00AE2E9D" w:rsidP="00AE2E9D">
            <w:pPr>
              <w:rPr>
                <w:bCs/>
                <w:lang w:val="es-ES"/>
              </w:rPr>
            </w:pPr>
            <w:r>
              <w:rPr>
                <w:bCs/>
                <w:lang w:val="es-ES"/>
              </w:rPr>
              <w:t>Aspirantes a ocupar una plaza como docente o técnico docente en</w:t>
            </w:r>
            <w:r w:rsidR="00735196" w:rsidRPr="00A7447C">
              <w:rPr>
                <w:bCs/>
                <w:lang w:val="es-ES"/>
              </w:rPr>
              <w:t xml:space="preserve"> educación básica</w:t>
            </w:r>
            <w:r>
              <w:rPr>
                <w:bCs/>
                <w:lang w:val="es-ES"/>
              </w:rPr>
              <w:t xml:space="preserve"> o media superior</w:t>
            </w:r>
            <w:r w:rsidR="005D5071">
              <w:rPr>
                <w:bCs/>
                <w:lang w:val="es-ES"/>
              </w:rPr>
              <w:t>, en cualquiera de l</w:t>
            </w:r>
            <w:r w:rsidR="00DF203E">
              <w:rPr>
                <w:bCs/>
                <w:lang w:val="es-ES"/>
              </w:rPr>
              <w:t>os siguientes niveles:</w:t>
            </w:r>
          </w:p>
          <w:p w14:paraId="307C73E3" w14:textId="3935B580" w:rsidR="00DF203E" w:rsidRDefault="00DF203E" w:rsidP="005D5071">
            <w:pPr>
              <w:pStyle w:val="Prrafodelista"/>
              <w:numPr>
                <w:ilvl w:val="0"/>
                <w:numId w:val="8"/>
              </w:numPr>
            </w:pPr>
            <w:r>
              <w:t>Educación inicial</w:t>
            </w:r>
          </w:p>
          <w:p w14:paraId="232545D8" w14:textId="0B1E9D12" w:rsidR="00DF203E" w:rsidRDefault="00DF203E" w:rsidP="005D5071">
            <w:pPr>
              <w:pStyle w:val="Prrafodelista"/>
              <w:numPr>
                <w:ilvl w:val="0"/>
                <w:numId w:val="8"/>
              </w:numPr>
            </w:pPr>
            <w:r>
              <w:t>Preescolar</w:t>
            </w:r>
          </w:p>
          <w:p w14:paraId="4798CCDE" w14:textId="34C27593" w:rsidR="005D5071" w:rsidRDefault="005D5071" w:rsidP="005D5071">
            <w:pPr>
              <w:pStyle w:val="Prrafodelista"/>
              <w:numPr>
                <w:ilvl w:val="0"/>
                <w:numId w:val="8"/>
              </w:numPr>
            </w:pPr>
            <w:r>
              <w:t>Primaria</w:t>
            </w:r>
          </w:p>
          <w:p w14:paraId="57009179" w14:textId="77777777" w:rsidR="005D5071" w:rsidRDefault="005D5071" w:rsidP="005D5071">
            <w:pPr>
              <w:pStyle w:val="Prrafodelista"/>
              <w:numPr>
                <w:ilvl w:val="0"/>
                <w:numId w:val="8"/>
              </w:numPr>
            </w:pPr>
            <w:r>
              <w:t>Secundaria</w:t>
            </w:r>
          </w:p>
          <w:p w14:paraId="7F9A1E26" w14:textId="77777777" w:rsidR="005D5071" w:rsidRDefault="005D5071" w:rsidP="005D5071">
            <w:pPr>
              <w:pStyle w:val="Prrafodelista"/>
              <w:numPr>
                <w:ilvl w:val="0"/>
                <w:numId w:val="8"/>
              </w:numPr>
            </w:pPr>
            <w:r>
              <w:t>Educación Física</w:t>
            </w:r>
          </w:p>
          <w:p w14:paraId="5E31AC6A" w14:textId="4965B195" w:rsidR="005D5071" w:rsidRPr="00A7447C" w:rsidRDefault="005D5071" w:rsidP="00DF203E">
            <w:pPr>
              <w:pStyle w:val="Prrafodelista"/>
              <w:numPr>
                <w:ilvl w:val="0"/>
                <w:numId w:val="8"/>
              </w:numPr>
            </w:pPr>
            <w:r>
              <w:t>Educación Especial</w:t>
            </w:r>
          </w:p>
        </w:tc>
      </w:tr>
      <w:tr w:rsidR="00283A2C" w14:paraId="13439B02" w14:textId="77777777" w:rsidTr="00A7447C">
        <w:trPr>
          <w:trHeight w:val="587"/>
        </w:trPr>
        <w:tc>
          <w:tcPr>
            <w:tcW w:w="1980" w:type="dxa"/>
            <w:shd w:val="clear" w:color="auto" w:fill="E2EFD9" w:themeFill="accent6" w:themeFillTint="33"/>
            <w:vAlign w:val="center"/>
          </w:tcPr>
          <w:p w14:paraId="649B9840" w14:textId="77777777" w:rsidR="00283A2C" w:rsidRPr="00A7447C" w:rsidRDefault="00283A2C" w:rsidP="00283A2C">
            <w:pPr>
              <w:rPr>
                <w:color w:val="1F3864" w:themeColor="accent5" w:themeShade="80"/>
              </w:rPr>
            </w:pPr>
            <w:r w:rsidRPr="00A7447C">
              <w:rPr>
                <w:color w:val="1F3864" w:themeColor="accent5" w:themeShade="80"/>
              </w:rPr>
              <w:t>Alcances de los resultados</w:t>
            </w:r>
          </w:p>
        </w:tc>
        <w:tc>
          <w:tcPr>
            <w:tcW w:w="9214" w:type="dxa"/>
            <w:vAlign w:val="center"/>
          </w:tcPr>
          <w:p w14:paraId="402CB2AE" w14:textId="3D772053" w:rsidR="00283A2C" w:rsidRPr="00A7447C" w:rsidRDefault="006F0544" w:rsidP="00735196">
            <w:pPr>
              <w:pStyle w:val="Prrafodelista"/>
              <w:numPr>
                <w:ilvl w:val="0"/>
                <w:numId w:val="2"/>
              </w:numPr>
              <w:ind w:left="317" w:hanging="283"/>
            </w:pPr>
            <w:r w:rsidRPr="00A7447C">
              <w:t>Para los sustentantes: D</w:t>
            </w:r>
            <w:r w:rsidR="00283A2C" w:rsidRPr="00A7447C">
              <w:t xml:space="preserve">iagnóstico </w:t>
            </w:r>
            <w:r w:rsidR="00426081" w:rsidRPr="00A7447C">
              <w:t xml:space="preserve">individual </w:t>
            </w:r>
            <w:r w:rsidR="0039220E" w:rsidRPr="00A7447C">
              <w:t>sobre</w:t>
            </w:r>
            <w:r w:rsidR="0039220E">
              <w:t xml:space="preserve"> el grado de experticia detectado en cada una de las</w:t>
            </w:r>
            <w:r w:rsidR="0039220E" w:rsidRPr="00A7447C">
              <w:t xml:space="preserve"> habilidades </w:t>
            </w:r>
            <w:r w:rsidR="0039220E">
              <w:t>y conocimientos valorados como parte del proceso de admisión</w:t>
            </w:r>
            <w:r w:rsidR="0039220E">
              <w:t>, permitiendo identificar las fortalezas y áreas de mejora propias que guiarán una búsqueda informada de oportunidades para su formación continua.</w:t>
            </w:r>
          </w:p>
          <w:p w14:paraId="0DCF987A" w14:textId="432CAB3B" w:rsidR="006F0544" w:rsidRPr="00A7447C" w:rsidRDefault="006F0544" w:rsidP="00C627D5">
            <w:pPr>
              <w:pStyle w:val="Prrafodelista"/>
              <w:numPr>
                <w:ilvl w:val="0"/>
                <w:numId w:val="2"/>
              </w:numPr>
              <w:ind w:left="317" w:hanging="283"/>
            </w:pPr>
            <w:r w:rsidRPr="00A7447C">
              <w:t>Para las autoridades educativas</w:t>
            </w:r>
            <w:r w:rsidR="00C627D5" w:rsidRPr="00A7447C">
              <w:t xml:space="preserve"> federales</w:t>
            </w:r>
            <w:r w:rsidRPr="00A7447C">
              <w:t xml:space="preserve">: </w:t>
            </w:r>
            <w:r w:rsidR="00426081" w:rsidRPr="00A7447C">
              <w:t>Diagnóstico</w:t>
            </w:r>
            <w:r w:rsidR="00C627D5" w:rsidRPr="00A7447C">
              <w:t>s</w:t>
            </w:r>
            <w:r w:rsidR="00426081" w:rsidRPr="00A7447C">
              <w:t xml:space="preserve"> </w:t>
            </w:r>
            <w:r w:rsidR="00C627D5" w:rsidRPr="00A7447C">
              <w:t xml:space="preserve">a nivel nacional </w:t>
            </w:r>
            <w:r w:rsidR="0039220E" w:rsidRPr="00A7447C">
              <w:t>sobre</w:t>
            </w:r>
            <w:r w:rsidR="0039220E">
              <w:t xml:space="preserve"> el grado de experticia detectado en cada una de las</w:t>
            </w:r>
            <w:r w:rsidR="0039220E" w:rsidRPr="00A7447C">
              <w:t xml:space="preserve"> habilidades </w:t>
            </w:r>
            <w:r w:rsidR="0039220E">
              <w:t xml:space="preserve">y conocimientos valorados como parte del proceso de admisión, permitiendo identificar </w:t>
            </w:r>
            <w:r w:rsidR="0039220E" w:rsidRPr="00A7447C">
              <w:t>patrones</w:t>
            </w:r>
            <w:r w:rsidR="0039220E">
              <w:t xml:space="preserve"> generales</w:t>
            </w:r>
            <w:r w:rsidR="0039220E" w:rsidRPr="00A7447C">
              <w:t xml:space="preserve"> </w:t>
            </w:r>
            <w:r w:rsidR="0039220E">
              <w:t>en términos de las</w:t>
            </w:r>
            <w:r w:rsidR="0039220E" w:rsidRPr="00A7447C">
              <w:t xml:space="preserve"> fortalezas y áreas de oportunidad</w:t>
            </w:r>
            <w:r w:rsidR="0039220E">
              <w:t xml:space="preserve"> detectadas en la población objetivo.</w:t>
            </w:r>
          </w:p>
          <w:p w14:paraId="70193CEF" w14:textId="2F2DEB83" w:rsidR="00C627D5" w:rsidRPr="00A7447C" w:rsidRDefault="00C627D5" w:rsidP="00190E6F">
            <w:pPr>
              <w:pStyle w:val="Prrafodelista"/>
              <w:numPr>
                <w:ilvl w:val="0"/>
                <w:numId w:val="2"/>
              </w:numPr>
              <w:ind w:left="317" w:hanging="283"/>
            </w:pPr>
            <w:r w:rsidRPr="00A7447C">
              <w:t>Para las autoridades locales: Diagnóstico</w:t>
            </w:r>
            <w:r w:rsidR="001169D6" w:rsidRPr="00A7447C">
              <w:t>s</w:t>
            </w:r>
            <w:r w:rsidRPr="00A7447C">
              <w:t xml:space="preserve"> </w:t>
            </w:r>
            <w:r w:rsidR="001169D6" w:rsidRPr="00A7447C">
              <w:t xml:space="preserve">locales </w:t>
            </w:r>
            <w:r w:rsidRPr="00A7447C">
              <w:t>sobre</w:t>
            </w:r>
            <w:r w:rsidR="0039220E">
              <w:t xml:space="preserve"> el grado de experticia detectado en cada una de las</w:t>
            </w:r>
            <w:r w:rsidRPr="00A7447C">
              <w:t xml:space="preserve"> habilidades </w:t>
            </w:r>
            <w:r w:rsidR="0039220E">
              <w:t xml:space="preserve">y conocimientos valorados como parte del proceso de admisión, permitiendo identificar </w:t>
            </w:r>
            <w:r w:rsidRPr="00A7447C">
              <w:t>patrones</w:t>
            </w:r>
            <w:r w:rsidR="0039220E">
              <w:t xml:space="preserve"> generales</w:t>
            </w:r>
            <w:r w:rsidRPr="00A7447C">
              <w:t xml:space="preserve"> </w:t>
            </w:r>
            <w:r w:rsidR="0039220E">
              <w:t>en las</w:t>
            </w:r>
            <w:r w:rsidRPr="00A7447C">
              <w:t xml:space="preserve"> fortalezas y áreas de oportunidad </w:t>
            </w:r>
            <w:r w:rsidR="0039220E">
              <w:t>identificadas, a fin de guiar el desarrollo informado de recursos para la formación continua.</w:t>
            </w:r>
          </w:p>
        </w:tc>
      </w:tr>
      <w:tr w:rsidR="00283A2C" w14:paraId="70E54F42" w14:textId="77777777" w:rsidTr="00047FF0">
        <w:trPr>
          <w:trHeight w:val="954"/>
        </w:trPr>
        <w:tc>
          <w:tcPr>
            <w:tcW w:w="1980" w:type="dxa"/>
            <w:shd w:val="clear" w:color="auto" w:fill="E2EFD9" w:themeFill="accent6" w:themeFillTint="33"/>
            <w:vAlign w:val="center"/>
          </w:tcPr>
          <w:p w14:paraId="239E4AB5" w14:textId="77777777" w:rsidR="00283A2C" w:rsidRPr="00A7447C" w:rsidRDefault="00283A2C" w:rsidP="005A0D96">
            <w:pPr>
              <w:rPr>
                <w:color w:val="1F3864" w:themeColor="accent5" w:themeShade="80"/>
              </w:rPr>
            </w:pPr>
            <w:r w:rsidRPr="00A7447C">
              <w:rPr>
                <w:color w:val="1F3864" w:themeColor="accent5" w:themeShade="80"/>
              </w:rPr>
              <w:t>Uso de los resultados</w:t>
            </w:r>
          </w:p>
        </w:tc>
        <w:tc>
          <w:tcPr>
            <w:tcW w:w="9214" w:type="dxa"/>
            <w:vAlign w:val="center"/>
          </w:tcPr>
          <w:p w14:paraId="0AA4D753" w14:textId="51A40AA6" w:rsidR="00283A2C" w:rsidRDefault="00DF203E" w:rsidP="006F0544">
            <w:r>
              <w:t xml:space="preserve">Los resultados obtenidos en los instrumentos propuestos para la apreciación de conocimientos y aptitudes en los aspirantes al proceso de admisión, serán </w:t>
            </w:r>
            <w:r w:rsidR="00032A9E">
              <w:t>ponderados en conjunto con el resto de los factores establecidos en la Ley General del Sistema de Carrera para las Maestras y los Maestros (LGCMM) para ordenar las listas de prelación con base en las cuales se asignarán las plazas vacantes.</w:t>
            </w:r>
          </w:p>
        </w:tc>
      </w:tr>
      <w:tr w:rsidR="00AD24E1" w14:paraId="2A75C9C3" w14:textId="77777777" w:rsidTr="00A7447C">
        <w:trPr>
          <w:trHeight w:val="587"/>
        </w:trPr>
        <w:tc>
          <w:tcPr>
            <w:tcW w:w="1980" w:type="dxa"/>
            <w:shd w:val="clear" w:color="auto" w:fill="E2EFD9" w:themeFill="accent6" w:themeFillTint="33"/>
            <w:vAlign w:val="center"/>
          </w:tcPr>
          <w:p w14:paraId="281E9B74" w14:textId="77777777" w:rsidR="00AD24E1" w:rsidRPr="00A7447C" w:rsidRDefault="00AD24E1" w:rsidP="006F0544">
            <w:pPr>
              <w:rPr>
                <w:color w:val="1F3864" w:themeColor="accent5" w:themeShade="80"/>
              </w:rPr>
            </w:pPr>
            <w:r w:rsidRPr="00A7447C">
              <w:rPr>
                <w:color w:val="1F3864" w:themeColor="accent5" w:themeShade="80"/>
              </w:rPr>
              <w:t>Impacto</w:t>
            </w:r>
          </w:p>
        </w:tc>
        <w:tc>
          <w:tcPr>
            <w:tcW w:w="9214" w:type="dxa"/>
            <w:vAlign w:val="center"/>
          </w:tcPr>
          <w:p w14:paraId="393E6A03" w14:textId="2C9A1078" w:rsidR="00AD24E1" w:rsidRDefault="00AE2E9D" w:rsidP="00406A38">
            <w:r>
              <w:t>Alto</w:t>
            </w:r>
            <w:r w:rsidR="001169D6">
              <w:t>.</w:t>
            </w:r>
            <w:r w:rsidR="00AD24E1">
              <w:t xml:space="preserve"> </w:t>
            </w:r>
            <w:r w:rsidR="001169D6">
              <w:t>A</w:t>
            </w:r>
            <w:r w:rsidR="00AD24E1">
              <w:t xml:space="preserve"> partir de </w:t>
            </w:r>
            <w:r>
              <w:t>los resultados obtenidos se</w:t>
            </w:r>
            <w:r w:rsidR="00DF203E">
              <w:t xml:space="preserve"> tomarán decisiones basadas en evidencia para la admisión a la</w:t>
            </w:r>
            <w:r w:rsidR="00032A9E">
              <w:t xml:space="preserve"> función pública educativa como parte del cuerpo docente y técnico docente de educación básica y media superior en la Nueva Escuela Mexicana.</w:t>
            </w:r>
          </w:p>
        </w:tc>
      </w:tr>
      <w:tr w:rsidR="00AD24E1" w14:paraId="06BC9843" w14:textId="77777777" w:rsidTr="00A7447C">
        <w:trPr>
          <w:trHeight w:val="587"/>
        </w:trPr>
        <w:tc>
          <w:tcPr>
            <w:tcW w:w="1980" w:type="dxa"/>
            <w:shd w:val="clear" w:color="auto" w:fill="E2EFD9" w:themeFill="accent6" w:themeFillTint="33"/>
            <w:vAlign w:val="center"/>
          </w:tcPr>
          <w:p w14:paraId="03C9FB0F" w14:textId="77777777" w:rsidR="00AD24E1" w:rsidRPr="00A7447C" w:rsidRDefault="00AD24E1" w:rsidP="005A0D96">
            <w:pPr>
              <w:rPr>
                <w:color w:val="1F3864" w:themeColor="accent5" w:themeShade="80"/>
              </w:rPr>
            </w:pPr>
            <w:r w:rsidRPr="00A7447C">
              <w:rPr>
                <w:color w:val="1F3864" w:themeColor="accent5" w:themeShade="80"/>
              </w:rPr>
              <w:t>Sensibilidad a la práctica</w:t>
            </w:r>
          </w:p>
        </w:tc>
        <w:tc>
          <w:tcPr>
            <w:tcW w:w="9214" w:type="dxa"/>
            <w:vAlign w:val="center"/>
          </w:tcPr>
          <w:p w14:paraId="76B13148" w14:textId="140BC5FB" w:rsidR="00AD24E1" w:rsidRDefault="00AD24E1" w:rsidP="00C325E4">
            <w:r>
              <w:t>Alta</w:t>
            </w:r>
            <w:r w:rsidR="001169D6">
              <w:t xml:space="preserve">. </w:t>
            </w:r>
            <w:r w:rsidR="00032A9E">
              <w:t>Los instrumentos propuestos están elaborados con apego total al contenido de los perfiles, criterios e indicadores publicados a manera de referente para el ejercicio de la práctica educativa en nuestro país.</w:t>
            </w:r>
          </w:p>
        </w:tc>
      </w:tr>
      <w:tr w:rsidR="00283A2C" w14:paraId="74CA3CB8" w14:textId="77777777" w:rsidTr="00A7447C">
        <w:trPr>
          <w:trHeight w:val="475"/>
        </w:trPr>
        <w:tc>
          <w:tcPr>
            <w:tcW w:w="1980" w:type="dxa"/>
            <w:shd w:val="clear" w:color="auto" w:fill="E2EFD9" w:themeFill="accent6" w:themeFillTint="33"/>
            <w:vAlign w:val="center"/>
          </w:tcPr>
          <w:p w14:paraId="0C29F49F" w14:textId="77777777" w:rsidR="00283A2C" w:rsidRPr="00A7447C" w:rsidRDefault="00283A2C" w:rsidP="005A0D96">
            <w:pPr>
              <w:rPr>
                <w:color w:val="1F3864" w:themeColor="accent5" w:themeShade="80"/>
              </w:rPr>
            </w:pPr>
            <w:r w:rsidRPr="00A7447C">
              <w:rPr>
                <w:color w:val="1F3864" w:themeColor="accent5" w:themeShade="80"/>
              </w:rPr>
              <w:t>Cobertura</w:t>
            </w:r>
          </w:p>
        </w:tc>
        <w:tc>
          <w:tcPr>
            <w:tcW w:w="9214" w:type="dxa"/>
            <w:vAlign w:val="center"/>
          </w:tcPr>
          <w:p w14:paraId="738FAE7D" w14:textId="77777777" w:rsidR="00032A9E" w:rsidRDefault="00032A9E" w:rsidP="006F0544"/>
          <w:p w14:paraId="483AE7A4" w14:textId="77777777" w:rsidR="00032A9E" w:rsidRDefault="00032A9E" w:rsidP="006F0544"/>
          <w:p w14:paraId="3B3DE41F" w14:textId="77777777" w:rsidR="00032A9E" w:rsidRDefault="00283A2C" w:rsidP="00032A9E">
            <w:r>
              <w:t>Nacional</w:t>
            </w:r>
            <w:r w:rsidR="00C325E4">
              <w:t>.</w:t>
            </w:r>
          </w:p>
          <w:p w14:paraId="409A26AB" w14:textId="05E848CF" w:rsidR="00032A9E" w:rsidRDefault="00032A9E" w:rsidP="00032A9E"/>
        </w:tc>
      </w:tr>
      <w:tr w:rsidR="00D57209" w14:paraId="7E9BCB60" w14:textId="77777777" w:rsidTr="00504FAF">
        <w:trPr>
          <w:trHeight w:val="475"/>
        </w:trPr>
        <w:tc>
          <w:tcPr>
            <w:tcW w:w="11194" w:type="dxa"/>
            <w:gridSpan w:val="2"/>
            <w:shd w:val="clear" w:color="auto" w:fill="E2EFD9" w:themeFill="accent6" w:themeFillTint="33"/>
            <w:vAlign w:val="center"/>
          </w:tcPr>
          <w:p w14:paraId="512E7719" w14:textId="6546E2F1" w:rsidR="00D57209" w:rsidRDefault="00D57209" w:rsidP="00D57209">
            <w:pPr>
              <w:jc w:val="center"/>
            </w:pPr>
            <w:r>
              <w:rPr>
                <w:color w:val="1F3864" w:themeColor="accent5" w:themeShade="80"/>
                <w:sz w:val="28"/>
                <w:szCs w:val="28"/>
              </w:rPr>
              <w:lastRenderedPageBreak/>
              <w:t xml:space="preserve">Etapa 1. Examen de acreditación del </w:t>
            </w:r>
            <w:r w:rsidR="00AE2E9D">
              <w:rPr>
                <w:color w:val="1F3864" w:themeColor="accent5" w:themeShade="80"/>
                <w:sz w:val="28"/>
                <w:szCs w:val="28"/>
              </w:rPr>
              <w:t>C</w:t>
            </w:r>
            <w:r>
              <w:rPr>
                <w:color w:val="1F3864" w:themeColor="accent5" w:themeShade="80"/>
                <w:sz w:val="28"/>
                <w:szCs w:val="28"/>
              </w:rPr>
              <w:t>urso de Habilidades Docentes para la Nueva Escuela Mexicana</w:t>
            </w:r>
          </w:p>
        </w:tc>
      </w:tr>
      <w:tr w:rsidR="007B3B46" w14:paraId="0F63D4FE" w14:textId="77777777" w:rsidTr="00A7447C">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D884D71" w14:textId="77777777" w:rsidR="007B3B46" w:rsidRPr="00A7447C" w:rsidRDefault="007B3B46" w:rsidP="007B3B46">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410F9F6C" w14:textId="77777777" w:rsidR="007B3B46" w:rsidRPr="007B3B46" w:rsidRDefault="007B3B46" w:rsidP="007B3B46">
            <w:pPr>
              <w:jc w:val="center"/>
            </w:pPr>
            <w:r w:rsidRPr="00A7447C">
              <w:rPr>
                <w:color w:val="1F3864" w:themeColor="accent5" w:themeShade="80"/>
              </w:rPr>
              <w:t>Descripción</w:t>
            </w:r>
          </w:p>
        </w:tc>
      </w:tr>
      <w:tr w:rsidR="007B3B46" w14:paraId="112C2260"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08DAC32" w14:textId="77777777" w:rsidR="007B3B46" w:rsidRPr="00A7447C" w:rsidRDefault="007B3B46" w:rsidP="007B3B46">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1613D056" w14:textId="77777777" w:rsidR="007B3B46" w:rsidRDefault="00947E89" w:rsidP="00A7447C">
            <w:r>
              <w:t>Prueba objetiva</w:t>
            </w:r>
          </w:p>
        </w:tc>
      </w:tr>
      <w:tr w:rsidR="00D57209" w14:paraId="0DB8DB2B"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3FC4B42" w14:textId="50DD6310" w:rsidR="00D57209" w:rsidRPr="00A7447C" w:rsidRDefault="00D57209" w:rsidP="00D5720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bottom w:val="single" w:sz="4" w:space="0" w:color="auto"/>
            </w:tcBorders>
            <w:vAlign w:val="center"/>
          </w:tcPr>
          <w:p w14:paraId="60E008A7" w14:textId="07CCCADF" w:rsidR="00D57209" w:rsidRDefault="00D57209" w:rsidP="00D57209">
            <w:r w:rsidRPr="00D57209">
              <w:rPr>
                <w:bCs/>
              </w:rPr>
              <w:t>Examen</w:t>
            </w:r>
            <w:r>
              <w:rPr>
                <w:bCs/>
              </w:rPr>
              <w:t xml:space="preserve"> de acreditación del curso de Habilidades Docentes para la Nueva Escuela Mexicana.</w:t>
            </w:r>
          </w:p>
        </w:tc>
      </w:tr>
      <w:tr w:rsidR="00D57209" w14:paraId="7AECF43F"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47815B2" w14:textId="6EE45AA3" w:rsidR="00D57209" w:rsidRPr="00A7447C" w:rsidRDefault="00D57209" w:rsidP="00D5720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1DE525EF" w14:textId="49761A9F" w:rsidR="00D57209" w:rsidRDefault="00D57209" w:rsidP="00D57209">
            <w:r w:rsidRPr="00A7447C">
              <w:rPr>
                <w:highlight w:val="cyan"/>
              </w:rPr>
              <w:t>Estas las asignaremos al final. Le pediría a Ramsés que incluya propuesta que habíamos acordado</w:t>
            </w:r>
          </w:p>
        </w:tc>
      </w:tr>
      <w:tr w:rsidR="0039220E" w14:paraId="10A88537" w14:textId="77777777" w:rsidTr="00A7447C">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82FE7B1" w14:textId="05C517A9" w:rsidR="0039220E" w:rsidRPr="00A7447C" w:rsidRDefault="0039220E" w:rsidP="00D5720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50D82FA4" w14:textId="22678184" w:rsidR="0039220E" w:rsidRPr="00A7447C" w:rsidRDefault="00032A9E" w:rsidP="00032A9E">
            <w:pPr>
              <w:jc w:val="both"/>
              <w:rPr>
                <w:highlight w:val="cyan"/>
              </w:rPr>
            </w:pPr>
            <w:r w:rsidRPr="00032A9E">
              <w:t>Validar</w:t>
            </w:r>
            <w:r>
              <w:t xml:space="preserve"> la acreditación del Curso de Habilidades Docentes para la Nueva Escuela Mexicana, al examinar el grado de dominio que tienen los aspirantes sobre </w:t>
            </w:r>
            <w:r>
              <w:rPr>
                <w:bCs/>
              </w:rPr>
              <w:t xml:space="preserve">las habilidades, conocimientos y actitudes que </w:t>
            </w:r>
            <w:r>
              <w:rPr>
                <w:bCs/>
              </w:rPr>
              <w:t xml:space="preserve">se considera </w:t>
            </w:r>
            <w:r>
              <w:rPr>
                <w:bCs/>
              </w:rPr>
              <w:t>deben poseer los docentes para llevar a cabo el trabajo pedagógico en el aula, en el marco de equidad, excelencia y mejora continua que promueve la nueva escuela mexicana.</w:t>
            </w:r>
          </w:p>
        </w:tc>
      </w:tr>
      <w:tr w:rsidR="00D57209" w14:paraId="74A7916E" w14:textId="77777777" w:rsidTr="00A7447C">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52F7A04" w14:textId="77777777" w:rsidR="00D57209" w:rsidRPr="00A7447C" w:rsidRDefault="00D57209" w:rsidP="00D57209">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6968CDAF" w14:textId="082AD930" w:rsidR="00D57209" w:rsidRDefault="00D57209" w:rsidP="00D57209">
            <w:r>
              <w:t xml:space="preserve">Contiene </w:t>
            </w:r>
            <w:r w:rsidR="00AE2E9D">
              <w:t>20</w:t>
            </w:r>
            <w:r>
              <w:t xml:space="preserve"> ítems </w:t>
            </w:r>
            <w:r w:rsidR="00032A9E">
              <w:t>dicotómicos (Calificados como correcto/incorrecto) de opción múltiple que abordarán los contenidos revisados a lo largo del Curso.</w:t>
            </w:r>
          </w:p>
        </w:tc>
      </w:tr>
      <w:tr w:rsidR="00D57209" w14:paraId="137FA721"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B832783" w14:textId="77777777" w:rsidR="00D57209" w:rsidRPr="00A7447C" w:rsidRDefault="00D57209" w:rsidP="00D5720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518FC4D9" w14:textId="77777777" w:rsidR="00D57209" w:rsidRDefault="00D57209" w:rsidP="00D57209">
            <w:r w:rsidRPr="00A7447C">
              <w:rPr>
                <w:highlight w:val="cyan"/>
              </w:rPr>
              <w:t>Por definir.</w:t>
            </w:r>
            <w:r>
              <w:t xml:space="preserve"> </w:t>
            </w:r>
          </w:p>
        </w:tc>
      </w:tr>
      <w:tr w:rsidR="00D57209" w14:paraId="5A670050" w14:textId="77777777" w:rsidTr="00A7447C">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33B5EDA" w14:textId="77777777" w:rsidR="00D57209" w:rsidRPr="00A7447C" w:rsidRDefault="00D57209" w:rsidP="00D5720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7B29E13" w14:textId="5286082B" w:rsidR="00D57209" w:rsidRDefault="00AE2E9D" w:rsidP="00D57209">
            <w:r>
              <w:t>Primera etapa del proceso de Admisión.</w:t>
            </w:r>
          </w:p>
        </w:tc>
      </w:tr>
      <w:tr w:rsidR="00D57209" w14:paraId="3EF10536" w14:textId="77777777" w:rsidTr="00A7447C">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C83ECDB" w14:textId="77777777" w:rsidR="00D57209" w:rsidRPr="00A7447C" w:rsidRDefault="00D57209" w:rsidP="00D5720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C2267B3" w14:textId="77777777" w:rsidR="00D57209" w:rsidRDefault="00D57209" w:rsidP="00D57209">
            <w:r>
              <w:t xml:space="preserve">En línea. </w:t>
            </w:r>
          </w:p>
        </w:tc>
      </w:tr>
      <w:tr w:rsidR="00D57209" w14:paraId="4A482072" w14:textId="77777777" w:rsidTr="00A7447C">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F61B186" w14:textId="77777777" w:rsidR="00D57209" w:rsidRPr="00A7447C" w:rsidRDefault="00D57209" w:rsidP="00D5720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21E43168" w14:textId="77777777" w:rsidR="00D57209" w:rsidRDefault="00D57209" w:rsidP="00D57209">
            <w:r w:rsidRPr="00AE2E9D">
              <w:rPr>
                <w:highlight w:val="cyan"/>
              </w:rPr>
              <w:t>Nota: Se definirá después del piloteo.</w:t>
            </w:r>
          </w:p>
        </w:tc>
      </w:tr>
      <w:tr w:rsidR="00D57209" w14:paraId="4BE9D677" w14:textId="77777777" w:rsidTr="00A7447C">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C11A20F" w14:textId="77777777" w:rsidR="00D57209" w:rsidRPr="00A7447C" w:rsidRDefault="00D57209" w:rsidP="00D5720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5B8301D3" w14:textId="77777777" w:rsidR="00D57209" w:rsidRDefault="00D57209" w:rsidP="00D57209">
            <w:r>
              <w:t>Una</w:t>
            </w:r>
          </w:p>
        </w:tc>
      </w:tr>
      <w:tr w:rsidR="00D57209" w14:paraId="0A42E9B3"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4D572C3" w14:textId="77777777" w:rsidR="00D57209" w:rsidRPr="00A7447C" w:rsidRDefault="00D57209" w:rsidP="00D5720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6BA09361" w14:textId="205FA3DC" w:rsidR="00D57209" w:rsidRDefault="00AE2E9D" w:rsidP="00D57209">
            <w:r w:rsidRPr="00032A9E">
              <w:t>Los ítems se encuentran agrupados de acuerdo con los módulos contenidos en el Curso de habilidades docentes para la Nueva Escuela Mexicana</w:t>
            </w:r>
            <w:r w:rsidR="00D57209" w:rsidRPr="00032A9E">
              <w:t xml:space="preserve"> </w:t>
            </w:r>
          </w:p>
        </w:tc>
      </w:tr>
      <w:tr w:rsidR="00D57209" w14:paraId="13E96D74"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40C3C70" w14:textId="77777777" w:rsidR="00D57209" w:rsidRPr="00A7447C" w:rsidRDefault="00D57209" w:rsidP="00D5720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2477684F" w14:textId="77777777" w:rsidR="00D57209" w:rsidRDefault="00D57209" w:rsidP="00D57209">
            <w:r>
              <w:t>Ninguna.</w:t>
            </w:r>
          </w:p>
        </w:tc>
      </w:tr>
      <w:tr w:rsidR="00D57209" w14:paraId="0988085D" w14:textId="77777777" w:rsidTr="00A7447C">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D18AAF1" w14:textId="77777777" w:rsidR="00D57209" w:rsidRPr="00A7447C" w:rsidRDefault="00D57209" w:rsidP="00D5720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3662DB68" w14:textId="569DBBA6" w:rsidR="00D57209" w:rsidRPr="00032A9E" w:rsidRDefault="00D57209" w:rsidP="00D57209">
            <w:pPr>
              <w:rPr>
                <w:color w:val="FF0000"/>
              </w:rPr>
            </w:pPr>
            <w:r w:rsidRPr="00032A9E">
              <w:rPr>
                <w:highlight w:val="cyan"/>
              </w:rPr>
              <w:t>MDC</w:t>
            </w:r>
            <w:r w:rsidR="00032A9E" w:rsidRPr="00032A9E">
              <w:rPr>
                <w:highlight w:val="cyan"/>
              </w:rPr>
              <w:t xml:space="preserve"> o TRI</w:t>
            </w:r>
            <w:r w:rsidR="00032A9E">
              <w:t xml:space="preserve">  </w:t>
            </w:r>
            <w:r w:rsidR="00032A9E">
              <w:rPr>
                <w:color w:val="FF0000"/>
              </w:rPr>
              <w:t>Tengo anotados ambos marcos en distintos documentos.</w:t>
            </w:r>
          </w:p>
        </w:tc>
      </w:tr>
      <w:tr w:rsidR="00D57209" w14:paraId="428F2711" w14:textId="77777777" w:rsidTr="00D57209">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2B59A9F" w14:textId="77777777" w:rsidR="00D57209" w:rsidRPr="00A7447C" w:rsidRDefault="00D57209" w:rsidP="00D5720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4BF9A080" w14:textId="48FD45EC" w:rsidR="00D57209" w:rsidRDefault="00D57209" w:rsidP="00D57209">
            <w:r w:rsidRPr="00A7447C">
              <w:t xml:space="preserve">Reporte individualizado </w:t>
            </w:r>
            <w:r w:rsidRPr="00AE2E9D">
              <w:rPr>
                <w:color w:val="FF0000"/>
              </w:rPr>
              <w:t xml:space="preserve">por </w:t>
            </w:r>
            <w:r w:rsidR="00AE2E9D" w:rsidRPr="00AE2E9D">
              <w:rPr>
                <w:color w:val="FF0000"/>
              </w:rPr>
              <w:t>módulo</w:t>
            </w:r>
            <w:r w:rsidR="00AE2E9D">
              <w:rPr>
                <w:color w:val="FF0000"/>
              </w:rPr>
              <w:t xml:space="preserve"> y rubro</w:t>
            </w:r>
            <w:r w:rsidR="00AE2E9D" w:rsidRPr="00AE2E9D">
              <w:rPr>
                <w:color w:val="FF0000"/>
              </w:rPr>
              <w:t>.</w:t>
            </w:r>
          </w:p>
        </w:tc>
      </w:tr>
      <w:tr w:rsidR="00D57209" w14:paraId="0B482025" w14:textId="77777777" w:rsidTr="00A81C97">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0BC7CE75" w14:textId="2F0E8A1C" w:rsidR="00D57209" w:rsidRPr="00A7447C" w:rsidRDefault="00D57209" w:rsidP="00D57209">
            <w:pPr>
              <w:jc w:val="center"/>
            </w:pPr>
            <w:r>
              <w:rPr>
                <w:color w:val="1F3864" w:themeColor="accent5" w:themeShade="80"/>
                <w:sz w:val="28"/>
                <w:szCs w:val="28"/>
              </w:rPr>
              <w:t xml:space="preserve">Etapa </w:t>
            </w:r>
            <w:r>
              <w:rPr>
                <w:color w:val="1F3864" w:themeColor="accent5" w:themeShade="80"/>
                <w:sz w:val="28"/>
                <w:szCs w:val="28"/>
              </w:rPr>
              <w:t>2</w:t>
            </w:r>
            <w:r>
              <w:rPr>
                <w:color w:val="1F3864" w:themeColor="accent5" w:themeShade="80"/>
                <w:sz w:val="28"/>
                <w:szCs w:val="28"/>
              </w:rPr>
              <w:t xml:space="preserve">. </w:t>
            </w:r>
            <w:r>
              <w:rPr>
                <w:color w:val="1F3864" w:themeColor="accent5" w:themeShade="80"/>
                <w:sz w:val="28"/>
                <w:szCs w:val="28"/>
              </w:rPr>
              <w:t>Prueba de conocimientos y aptitudes docentes</w:t>
            </w:r>
          </w:p>
        </w:tc>
      </w:tr>
      <w:tr w:rsidR="00D57209" w14:paraId="236253B2"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1D9E3D3" w14:textId="063642FD" w:rsidR="00D57209" w:rsidRPr="00A7447C" w:rsidRDefault="00D57209" w:rsidP="00D57209">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7F05FA5A" w14:textId="6AB4A672" w:rsidR="00D57209" w:rsidRPr="00A7447C" w:rsidRDefault="00D57209" w:rsidP="00D57209">
            <w:r>
              <w:t>Prueba objetiva</w:t>
            </w:r>
          </w:p>
        </w:tc>
      </w:tr>
      <w:tr w:rsidR="00D57209" w14:paraId="264D57DA"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37D814B" w14:textId="00301FF7" w:rsidR="00D57209" w:rsidRPr="00A7447C" w:rsidRDefault="00D57209" w:rsidP="00D57209">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00D5D4B2" w14:textId="5146F692" w:rsidR="00D57209" w:rsidRDefault="00D57209" w:rsidP="00D57209">
            <w:r w:rsidRPr="00D57209">
              <w:rPr>
                <w:bCs/>
              </w:rPr>
              <w:t>Examen</w:t>
            </w:r>
            <w:r>
              <w:rPr>
                <w:bCs/>
              </w:rPr>
              <w:t xml:space="preserve"> de acreditación del curso de Habilidades Docentes para la Nueva Escuela Mexicana.</w:t>
            </w:r>
          </w:p>
        </w:tc>
      </w:tr>
      <w:tr w:rsidR="00D57209" w14:paraId="410CD5F0"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7E9CC09" w14:textId="24783B18" w:rsidR="00D57209" w:rsidRDefault="00D57209" w:rsidP="00D57209">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F454FA3" w14:textId="337FD891" w:rsidR="00D57209" w:rsidRPr="00D57209" w:rsidRDefault="00D57209" w:rsidP="00D57209">
            <w:pPr>
              <w:rPr>
                <w:bCs/>
              </w:rPr>
            </w:pPr>
            <w:r w:rsidRPr="00A7447C">
              <w:rPr>
                <w:highlight w:val="cyan"/>
              </w:rPr>
              <w:t>Estas las asignaremos al final. Le pediría a Ramsés que incluya propuesta que habíamos acordado</w:t>
            </w:r>
          </w:p>
        </w:tc>
      </w:tr>
      <w:tr w:rsidR="0039220E" w14:paraId="70C3913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15C72E76" w14:textId="6A74E2DA" w:rsidR="0039220E" w:rsidRPr="00A7447C" w:rsidRDefault="0039220E" w:rsidP="00D57209">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154E1D37" w14:textId="171A79BA" w:rsidR="0039220E" w:rsidRPr="0039220E" w:rsidRDefault="0039220E" w:rsidP="0039220E">
            <w:pPr>
              <w:jc w:val="both"/>
            </w:pPr>
            <w:r>
              <w:rPr>
                <w:lang w:val="es-ES"/>
              </w:rPr>
              <w:t>V</w:t>
            </w:r>
            <w:r>
              <w:t xml:space="preserve">alorar </w:t>
            </w:r>
            <w:r w:rsidR="00032A9E">
              <w:t xml:space="preserve">en los aspirantes </w:t>
            </w:r>
            <w:r w:rsidRPr="00023C00">
              <w:t>l</w:t>
            </w:r>
            <w:r>
              <w:t>o</w:t>
            </w:r>
            <w:r w:rsidRPr="00023C00">
              <w:t>s</w:t>
            </w:r>
            <w:r>
              <w:t xml:space="preserve"> conocimientos y</w:t>
            </w:r>
            <w:r w:rsidRPr="00023C00">
              <w:t xml:space="preserve"> capacidades </w:t>
            </w:r>
            <w:r>
              <w:t>necesarios para el</w:t>
            </w:r>
            <w:r w:rsidRPr="00023C00">
              <w:t xml:space="preserve"> ejercicio de la función docente</w:t>
            </w:r>
            <w:r>
              <w:t xml:space="preserve"> que poseen los participantes, conforme a los perfiles profesionales correspondientes que constituyen </w:t>
            </w:r>
            <w:r w:rsidRPr="00CB514B">
              <w:t>el</w:t>
            </w:r>
            <w:r>
              <w:t xml:space="preserve"> referente principal respecto de lo que requieren saber y saber hacer los</w:t>
            </w:r>
            <w:r w:rsidRPr="00CB514B">
              <w:t xml:space="preserve"> aspirante</w:t>
            </w:r>
            <w:r>
              <w:t>s</w:t>
            </w:r>
            <w:r w:rsidRPr="00CB514B">
              <w:t xml:space="preserve"> a desempeñar </w:t>
            </w:r>
            <w:r>
              <w:t xml:space="preserve">dicha </w:t>
            </w:r>
            <w:r w:rsidRPr="00CB514B">
              <w:t>función</w:t>
            </w:r>
            <w:r>
              <w:t>.</w:t>
            </w:r>
          </w:p>
        </w:tc>
      </w:tr>
      <w:tr w:rsidR="00D57209" w14:paraId="22A76D9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FBC30F" w14:textId="0C252CAE" w:rsidR="00D57209" w:rsidRPr="00A7447C" w:rsidRDefault="00D57209" w:rsidP="00D57209">
            <w:pPr>
              <w:rPr>
                <w:color w:val="1F3864" w:themeColor="accent5" w:themeShade="80"/>
              </w:rPr>
            </w:pPr>
            <w:r w:rsidRPr="00A7447C">
              <w:rPr>
                <w:color w:val="1F3864" w:themeColor="accent5" w:themeShade="80"/>
              </w:rPr>
              <w:lastRenderedPageBreak/>
              <w:t>Características</w:t>
            </w:r>
          </w:p>
        </w:tc>
        <w:tc>
          <w:tcPr>
            <w:tcW w:w="9214" w:type="dxa"/>
            <w:tcBorders>
              <w:top w:val="single" w:sz="4" w:space="0" w:color="auto"/>
              <w:left w:val="single" w:sz="4" w:space="0" w:color="auto"/>
            </w:tcBorders>
            <w:vAlign w:val="center"/>
          </w:tcPr>
          <w:p w14:paraId="6577092A" w14:textId="5F7B0A8D" w:rsidR="00D57209" w:rsidRPr="00A7447C" w:rsidRDefault="00D57209" w:rsidP="00D57209">
            <w:pPr>
              <w:rPr>
                <w:highlight w:val="cyan"/>
              </w:rPr>
            </w:pPr>
            <w:r>
              <w:t xml:space="preserve">Contiene </w:t>
            </w:r>
            <w:r w:rsidR="005D5071">
              <w:rPr>
                <w:highlight w:val="yellow"/>
              </w:rPr>
              <w:t>40</w:t>
            </w:r>
            <w:r w:rsidRPr="005D5071">
              <w:rPr>
                <w:highlight w:val="yellow"/>
              </w:rPr>
              <w:t xml:space="preserve"> ítems</w:t>
            </w:r>
            <w:r>
              <w:t xml:space="preserve"> </w:t>
            </w:r>
            <w:r w:rsidR="00032A9E">
              <w:t xml:space="preserve">dicotómicos (calificados como Correcto/Incorrecto) </w:t>
            </w:r>
            <w:r w:rsidR="00724811">
              <w:t>cuya resolución requiere de la aplicación de conocimientos y habilidades por parte de los sustentantes relacionados con la práctica docente</w:t>
            </w:r>
            <w:r w:rsidR="00724811">
              <w:t>.</w:t>
            </w:r>
          </w:p>
        </w:tc>
      </w:tr>
      <w:tr w:rsidR="00D57209" w14:paraId="30CA57D8"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507D2C1" w14:textId="5D98C6A5" w:rsidR="00D57209" w:rsidRPr="00A7447C" w:rsidRDefault="00D57209" w:rsidP="00D57209">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tcBorders>
            <w:vAlign w:val="center"/>
          </w:tcPr>
          <w:p w14:paraId="382CFBF2" w14:textId="4909853A" w:rsidR="00D57209" w:rsidRDefault="00D57209" w:rsidP="00D57209">
            <w:r w:rsidRPr="00A7447C">
              <w:rPr>
                <w:highlight w:val="cyan"/>
              </w:rPr>
              <w:t>Por definir.</w:t>
            </w:r>
            <w:r>
              <w:t xml:space="preserve"> </w:t>
            </w:r>
          </w:p>
        </w:tc>
      </w:tr>
      <w:tr w:rsidR="00D57209" w14:paraId="76C800DB"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04F6DD6" w14:textId="71D5BBE1" w:rsidR="00D57209" w:rsidRPr="00A7447C" w:rsidRDefault="00D57209" w:rsidP="00D57209">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22356DF4" w14:textId="031CC17B" w:rsidR="00D57209" w:rsidRPr="00A7447C" w:rsidRDefault="005D5071" w:rsidP="00D57209">
            <w:pPr>
              <w:rPr>
                <w:highlight w:val="cyan"/>
              </w:rPr>
            </w:pPr>
            <w:r>
              <w:t>Segunda etapa del Proceso de Admisión</w:t>
            </w:r>
          </w:p>
        </w:tc>
      </w:tr>
      <w:tr w:rsidR="00D57209" w14:paraId="4DCDE176"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B47163E" w14:textId="6E4F54EA" w:rsidR="00D57209" w:rsidRPr="00A7447C" w:rsidRDefault="00D57209" w:rsidP="00D57209">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512D316C" w14:textId="7479882B" w:rsidR="00D57209" w:rsidRDefault="00D57209" w:rsidP="00D57209">
            <w:r>
              <w:t xml:space="preserve">En línea. </w:t>
            </w:r>
          </w:p>
        </w:tc>
      </w:tr>
      <w:tr w:rsidR="00D57209" w14:paraId="5EE7B79C"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D0C1C36" w14:textId="7A7BB402" w:rsidR="00D57209" w:rsidRPr="00A7447C" w:rsidRDefault="00D57209" w:rsidP="00D57209">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4A3119E" w14:textId="76B5B6D8" w:rsidR="00D57209" w:rsidRDefault="00D57209" w:rsidP="00D57209">
            <w:r w:rsidRPr="005D5071">
              <w:rPr>
                <w:highlight w:val="cyan"/>
              </w:rPr>
              <w:t>Nota: Se definirá después del piloteo.</w:t>
            </w:r>
          </w:p>
        </w:tc>
      </w:tr>
      <w:tr w:rsidR="00D57209" w14:paraId="49602DF7"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73A13EB" w14:textId="09D038BF" w:rsidR="00D57209" w:rsidRPr="00A7447C" w:rsidRDefault="00D57209" w:rsidP="00D57209">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0A1B0374" w14:textId="141DACF7" w:rsidR="00D57209" w:rsidRDefault="00D57209" w:rsidP="00D57209">
            <w:r>
              <w:t>Una</w:t>
            </w:r>
          </w:p>
        </w:tc>
      </w:tr>
      <w:tr w:rsidR="00D57209" w14:paraId="70B2C10E"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4BDFF97" w14:textId="14A52C07" w:rsidR="00D57209" w:rsidRPr="00A7447C" w:rsidRDefault="00D57209" w:rsidP="00D57209">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38034675" w14:textId="4317BC86" w:rsidR="00D57209" w:rsidRDefault="005D5071" w:rsidP="00D57209">
            <w:r>
              <w:t>El examen estará dividido en dos grandes módulo</w:t>
            </w:r>
            <w:r w:rsidR="00032A9E">
              <w:t>s. El primero de ellos, corresponde a las generalidades de la práctica de todo docente y técnico docente, con independencia del nivel educativo y la modalidad en que labore. El segundo módulo será específico al nombramiento al que se aspira (docente de educación inicial, preescolar, primaria, secundaria, educación especial o educación física).</w:t>
            </w:r>
          </w:p>
        </w:tc>
      </w:tr>
      <w:tr w:rsidR="00D57209" w14:paraId="397B9004"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D2C60A" w14:textId="5450BD86" w:rsidR="00D57209" w:rsidRPr="00A7447C" w:rsidRDefault="00D57209" w:rsidP="00D57209">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4D044FF0" w14:textId="38838FE0" w:rsidR="00D57209" w:rsidRDefault="00D57209" w:rsidP="00D57209">
            <w:r>
              <w:t>Ninguna.</w:t>
            </w:r>
          </w:p>
        </w:tc>
      </w:tr>
      <w:tr w:rsidR="00D57209" w14:paraId="3B1C3EAD"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D562485" w14:textId="459D547B" w:rsidR="00D57209" w:rsidRPr="00A7447C" w:rsidRDefault="00D57209" w:rsidP="00D57209">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3CC3B5A5" w14:textId="3FBEC029" w:rsidR="00D57209" w:rsidRDefault="00D57209" w:rsidP="00D57209">
            <w:r>
              <w:t>MDC</w:t>
            </w:r>
          </w:p>
        </w:tc>
      </w:tr>
      <w:tr w:rsidR="00D57209" w14:paraId="5E5C957F" w14:textId="77777777" w:rsidTr="00A7447C">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EF238C2" w14:textId="20E007D9" w:rsidR="00D57209" w:rsidRPr="00A7447C" w:rsidRDefault="00D57209" w:rsidP="00D57209">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0D786237" w14:textId="4D99DA16" w:rsidR="00D57209" w:rsidRDefault="00D57209" w:rsidP="00D57209">
            <w:r w:rsidRPr="00A7447C">
              <w:t>Reporte individualizado por área.</w:t>
            </w:r>
            <w:r>
              <w:t xml:space="preserve"> </w:t>
            </w:r>
          </w:p>
        </w:tc>
      </w:tr>
    </w:tbl>
    <w:p w14:paraId="08DA857B" w14:textId="0E0D9E9B" w:rsidR="00392CE6" w:rsidRDefault="00392CE6" w:rsidP="00232060"/>
    <w:p w14:paraId="3B8A507D" w14:textId="443E9D62" w:rsidR="00661B99" w:rsidRDefault="00661B99" w:rsidP="00232060"/>
    <w:p w14:paraId="31288781" w14:textId="7AE31D9A" w:rsidR="00661B99" w:rsidRDefault="00661B99" w:rsidP="00232060"/>
    <w:p w14:paraId="75F3908F" w14:textId="1BFDA248" w:rsidR="00661B99" w:rsidRDefault="00661B99" w:rsidP="00232060"/>
    <w:p w14:paraId="6C476006" w14:textId="093BA50B" w:rsidR="00661B99" w:rsidRDefault="00661B99" w:rsidP="00232060"/>
    <w:p w14:paraId="503748F9" w14:textId="73F75836" w:rsidR="00661B99" w:rsidRDefault="00661B99" w:rsidP="00232060"/>
    <w:p w14:paraId="73001510" w14:textId="6534F3FB" w:rsidR="00661B99" w:rsidRDefault="00661B99" w:rsidP="00232060"/>
    <w:p w14:paraId="3B80D70D" w14:textId="58C6D2A8" w:rsidR="00661B99" w:rsidRDefault="00661B99" w:rsidP="00232060"/>
    <w:p w14:paraId="5E8C5511" w14:textId="48A84571" w:rsidR="00661B99" w:rsidRDefault="00661B99" w:rsidP="00232060"/>
    <w:p w14:paraId="7A7CD8D6" w14:textId="22979350" w:rsidR="00661B99" w:rsidRDefault="00661B99" w:rsidP="00232060"/>
    <w:p w14:paraId="026425EE" w14:textId="4E6B58FD" w:rsidR="00661B99" w:rsidRDefault="00661B99" w:rsidP="00232060"/>
    <w:p w14:paraId="0741BD67" w14:textId="000BC395" w:rsidR="00D57209" w:rsidRDefault="00D57209" w:rsidP="00232060"/>
    <w:p w14:paraId="7806F294" w14:textId="77777777" w:rsidR="005D5071" w:rsidRDefault="005D5071" w:rsidP="00D57209">
      <w:pPr>
        <w:spacing w:after="0"/>
        <w:jc w:val="center"/>
        <w:rPr>
          <w:color w:val="1F3864" w:themeColor="accent5" w:themeShade="80"/>
          <w:sz w:val="28"/>
          <w:szCs w:val="28"/>
        </w:rPr>
      </w:pPr>
    </w:p>
    <w:p w14:paraId="49EA8F57" w14:textId="77777777" w:rsidR="00724811" w:rsidRDefault="00724811" w:rsidP="00D57209">
      <w:pPr>
        <w:spacing w:after="0"/>
        <w:jc w:val="center"/>
        <w:rPr>
          <w:color w:val="1F3864" w:themeColor="accent5" w:themeShade="80"/>
          <w:sz w:val="28"/>
          <w:szCs w:val="28"/>
        </w:rPr>
      </w:pPr>
    </w:p>
    <w:p w14:paraId="5CF2CAD0" w14:textId="0E50B98A" w:rsidR="00D57209" w:rsidRDefault="00D57209" w:rsidP="00D57209">
      <w:pPr>
        <w:spacing w:after="0"/>
        <w:jc w:val="center"/>
        <w:rPr>
          <w:color w:val="1F3864" w:themeColor="accent5" w:themeShade="80"/>
          <w:sz w:val="28"/>
          <w:szCs w:val="28"/>
        </w:rPr>
      </w:pPr>
      <w:r>
        <w:rPr>
          <w:color w:val="1F3864" w:themeColor="accent5" w:themeShade="80"/>
          <w:sz w:val="28"/>
          <w:szCs w:val="28"/>
        </w:rPr>
        <w:lastRenderedPageBreak/>
        <w:t>Promoción Vertical</w:t>
      </w:r>
    </w:p>
    <w:tbl>
      <w:tblPr>
        <w:tblStyle w:val="Tablaconcuadrcula"/>
        <w:tblW w:w="11194"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0"/>
        <w:gridCol w:w="9214"/>
      </w:tblGrid>
      <w:tr w:rsidR="00D57209" w14:paraId="4E62297E" w14:textId="77777777" w:rsidTr="00E04267">
        <w:trPr>
          <w:trHeight w:val="309"/>
        </w:trPr>
        <w:tc>
          <w:tcPr>
            <w:tcW w:w="1980" w:type="dxa"/>
            <w:shd w:val="clear" w:color="auto" w:fill="E2EFD9" w:themeFill="accent6" w:themeFillTint="33"/>
            <w:vAlign w:val="center"/>
          </w:tcPr>
          <w:p w14:paraId="695B6633" w14:textId="77777777" w:rsidR="00D57209" w:rsidRPr="00A7447C" w:rsidRDefault="00D57209" w:rsidP="00E04267">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726CAE28" w14:textId="77777777" w:rsidR="00D57209" w:rsidRPr="00A7447C" w:rsidRDefault="00D57209" w:rsidP="00E04267">
            <w:pPr>
              <w:jc w:val="center"/>
              <w:rPr>
                <w:color w:val="1F3864" w:themeColor="accent5" w:themeShade="80"/>
              </w:rPr>
            </w:pPr>
            <w:r w:rsidRPr="00A7447C">
              <w:rPr>
                <w:color w:val="1F3864" w:themeColor="accent5" w:themeShade="80"/>
              </w:rPr>
              <w:t>Descripción</w:t>
            </w:r>
          </w:p>
        </w:tc>
      </w:tr>
      <w:tr w:rsidR="00D57209" w14:paraId="5DCE8EBF" w14:textId="77777777" w:rsidTr="00E04267">
        <w:trPr>
          <w:trHeight w:val="565"/>
        </w:trPr>
        <w:tc>
          <w:tcPr>
            <w:tcW w:w="1980" w:type="dxa"/>
            <w:shd w:val="clear" w:color="auto" w:fill="E2EFD9" w:themeFill="accent6" w:themeFillTint="33"/>
            <w:vAlign w:val="center"/>
          </w:tcPr>
          <w:p w14:paraId="26DEB572" w14:textId="77777777" w:rsidR="00D57209" w:rsidRPr="00A7447C" w:rsidRDefault="00D57209" w:rsidP="00E04267">
            <w:pPr>
              <w:rPr>
                <w:color w:val="1F3864" w:themeColor="accent5" w:themeShade="80"/>
              </w:rPr>
            </w:pPr>
            <w:r>
              <w:rPr>
                <w:color w:val="1F3864" w:themeColor="accent5" w:themeShade="80"/>
              </w:rPr>
              <w:t>Proceso</w:t>
            </w:r>
          </w:p>
        </w:tc>
        <w:tc>
          <w:tcPr>
            <w:tcW w:w="9214" w:type="dxa"/>
            <w:vAlign w:val="center"/>
          </w:tcPr>
          <w:p w14:paraId="48E394C1" w14:textId="4047C707" w:rsidR="00D57209" w:rsidRPr="00D57209" w:rsidRDefault="00D57209" w:rsidP="00E04267">
            <w:pPr>
              <w:jc w:val="center"/>
            </w:pPr>
            <w:r w:rsidRPr="00D57209">
              <w:t xml:space="preserve">Proceso de selección para la </w:t>
            </w:r>
            <w:r w:rsidR="00724811">
              <w:t>Promoción Vertical</w:t>
            </w:r>
            <w:r w:rsidRPr="00D57209">
              <w:t xml:space="preserve"> a las funciones </w:t>
            </w:r>
            <w:r w:rsidR="00724811">
              <w:t>Directivas y de Supervisión</w:t>
            </w:r>
            <w:bookmarkStart w:id="0" w:name="_GoBack"/>
            <w:bookmarkEnd w:id="0"/>
          </w:p>
        </w:tc>
      </w:tr>
      <w:tr w:rsidR="00D57209" w14:paraId="7E2C9A57" w14:textId="77777777" w:rsidTr="00E04267">
        <w:trPr>
          <w:trHeight w:val="425"/>
        </w:trPr>
        <w:tc>
          <w:tcPr>
            <w:tcW w:w="1980" w:type="dxa"/>
            <w:shd w:val="clear" w:color="auto" w:fill="E2EFD9" w:themeFill="accent6" w:themeFillTint="33"/>
            <w:vAlign w:val="center"/>
          </w:tcPr>
          <w:p w14:paraId="58471F09" w14:textId="77777777" w:rsidR="00D57209" w:rsidRPr="00A7447C" w:rsidRDefault="00D57209" w:rsidP="00E04267">
            <w:pPr>
              <w:rPr>
                <w:color w:val="1F3864" w:themeColor="accent5" w:themeShade="80"/>
              </w:rPr>
            </w:pPr>
            <w:r>
              <w:rPr>
                <w:color w:val="1F3864" w:themeColor="accent5" w:themeShade="80"/>
              </w:rPr>
              <w:t>I</w:t>
            </w:r>
            <w:r w:rsidRPr="00A7447C">
              <w:rPr>
                <w:color w:val="1F3864" w:themeColor="accent5" w:themeShade="80"/>
              </w:rPr>
              <w:t>nicio de operación</w:t>
            </w:r>
          </w:p>
        </w:tc>
        <w:tc>
          <w:tcPr>
            <w:tcW w:w="9214" w:type="dxa"/>
            <w:vAlign w:val="center"/>
          </w:tcPr>
          <w:p w14:paraId="3B7E7A74" w14:textId="77777777" w:rsidR="00D57209" w:rsidRPr="00A7447C" w:rsidRDefault="00D57209" w:rsidP="00E04267">
            <w:r w:rsidRPr="00A7447C">
              <w:t>Septiembre de 2020</w:t>
            </w:r>
          </w:p>
        </w:tc>
      </w:tr>
      <w:tr w:rsidR="00D57209" w14:paraId="060BAAD5" w14:textId="77777777" w:rsidTr="00E04267">
        <w:trPr>
          <w:trHeight w:val="587"/>
        </w:trPr>
        <w:tc>
          <w:tcPr>
            <w:tcW w:w="1980" w:type="dxa"/>
            <w:shd w:val="clear" w:color="auto" w:fill="E2EFD9" w:themeFill="accent6" w:themeFillTint="33"/>
            <w:vAlign w:val="center"/>
          </w:tcPr>
          <w:p w14:paraId="1029F285" w14:textId="77777777" w:rsidR="00D57209" w:rsidRPr="00A7447C" w:rsidRDefault="00D57209" w:rsidP="00E04267">
            <w:pPr>
              <w:rPr>
                <w:color w:val="1F3864" w:themeColor="accent5" w:themeShade="80"/>
              </w:rPr>
            </w:pPr>
            <w:r w:rsidRPr="00A7447C">
              <w:rPr>
                <w:color w:val="1F3864" w:themeColor="accent5" w:themeShade="80"/>
              </w:rPr>
              <w:t>Propósito</w:t>
            </w:r>
          </w:p>
        </w:tc>
        <w:tc>
          <w:tcPr>
            <w:tcW w:w="9214" w:type="dxa"/>
            <w:vAlign w:val="center"/>
          </w:tcPr>
          <w:p w14:paraId="344995FC" w14:textId="77777777" w:rsidR="00D57209" w:rsidRPr="00A7447C" w:rsidRDefault="00D57209" w:rsidP="00E04267">
            <w:pPr>
              <w:tabs>
                <w:tab w:val="num" w:pos="720"/>
              </w:tabs>
            </w:pPr>
            <w:r w:rsidRPr="00A7447C">
              <w:t xml:space="preserve">Valorar en las maestras y maestros un conjunto de habilidades relacionadas con: a) la conciencia emocional, la percepción y la confianza en sí mismo; b) la gestión personal en la capacidad de adaptación, el manejo de las emociones, la organización, y el establecimiento y logro de metas; c) la empatía, el reconocimiento hacia los otros y el respeto a la diversidad; d) la comunicación, el manejo de conflictos, el trabajo en equipo y la colaboración; y e) la capacidad para resolver problemas,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 </w:t>
            </w:r>
          </w:p>
        </w:tc>
      </w:tr>
      <w:tr w:rsidR="00D57209" w14:paraId="1EF0279A" w14:textId="77777777" w:rsidTr="00E04267">
        <w:trPr>
          <w:trHeight w:val="587"/>
        </w:trPr>
        <w:tc>
          <w:tcPr>
            <w:tcW w:w="1980" w:type="dxa"/>
            <w:shd w:val="clear" w:color="auto" w:fill="E2EFD9" w:themeFill="accent6" w:themeFillTint="33"/>
            <w:vAlign w:val="center"/>
          </w:tcPr>
          <w:p w14:paraId="08A56F65" w14:textId="77777777" w:rsidR="00D57209" w:rsidRPr="00A7447C" w:rsidRDefault="00D57209" w:rsidP="00E04267">
            <w:pPr>
              <w:rPr>
                <w:color w:val="1F3864" w:themeColor="accent5" w:themeShade="80"/>
              </w:rPr>
            </w:pPr>
            <w:r w:rsidRPr="00A7447C">
              <w:rPr>
                <w:color w:val="1F3864" w:themeColor="accent5" w:themeShade="80"/>
              </w:rPr>
              <w:t>Población objetivo</w:t>
            </w:r>
          </w:p>
        </w:tc>
        <w:tc>
          <w:tcPr>
            <w:tcW w:w="9214" w:type="dxa"/>
            <w:vAlign w:val="center"/>
          </w:tcPr>
          <w:p w14:paraId="4DAF2A24" w14:textId="77777777" w:rsidR="00D57209" w:rsidRPr="00A7447C" w:rsidRDefault="00D57209" w:rsidP="00E04267">
            <w:pPr>
              <w:rPr>
                <w:bCs/>
                <w:lang w:val="es-ES"/>
              </w:rPr>
            </w:pPr>
            <w:r w:rsidRPr="00A7447C">
              <w:rPr>
                <w:bCs/>
                <w:lang w:val="es-ES"/>
              </w:rPr>
              <w:t xml:space="preserve">Personal de educación básica: </w:t>
            </w:r>
          </w:p>
          <w:p w14:paraId="53F0869C" w14:textId="77777777" w:rsidR="00D57209" w:rsidRPr="00A7447C" w:rsidRDefault="00D57209" w:rsidP="00E04267">
            <w:pPr>
              <w:pStyle w:val="Prrafodelista"/>
              <w:numPr>
                <w:ilvl w:val="0"/>
                <w:numId w:val="7"/>
              </w:numPr>
              <w:ind w:left="317" w:hanging="283"/>
              <w:rPr>
                <w:bCs/>
                <w:lang w:val="es-ES"/>
              </w:rPr>
            </w:pPr>
            <w:r w:rsidRPr="00A7447C">
              <w:rPr>
                <w:bCs/>
                <w:lang w:val="es-ES"/>
              </w:rPr>
              <w:t>Docente y técnico docente.</w:t>
            </w:r>
          </w:p>
          <w:p w14:paraId="4D68FF37" w14:textId="77777777" w:rsidR="00D57209" w:rsidRPr="00A7447C" w:rsidRDefault="00D57209" w:rsidP="00E04267">
            <w:pPr>
              <w:pStyle w:val="Prrafodelista"/>
              <w:numPr>
                <w:ilvl w:val="0"/>
                <w:numId w:val="7"/>
              </w:numPr>
              <w:ind w:left="317" w:hanging="283"/>
              <w:rPr>
                <w:bCs/>
                <w:lang w:val="es-ES"/>
              </w:rPr>
            </w:pPr>
            <w:r w:rsidRPr="00A7447C">
              <w:rPr>
                <w:bCs/>
                <w:lang w:val="es-ES"/>
              </w:rPr>
              <w:t>Con funciones de dirección.</w:t>
            </w:r>
          </w:p>
          <w:p w14:paraId="5013B413" w14:textId="77777777" w:rsidR="00D57209" w:rsidRPr="00A7447C" w:rsidRDefault="00D57209" w:rsidP="00E04267">
            <w:pPr>
              <w:pStyle w:val="Prrafodelista"/>
              <w:numPr>
                <w:ilvl w:val="0"/>
                <w:numId w:val="7"/>
              </w:numPr>
              <w:ind w:left="317" w:hanging="283"/>
            </w:pPr>
            <w:r w:rsidRPr="00A7447C">
              <w:rPr>
                <w:bCs/>
                <w:lang w:val="es-ES"/>
              </w:rPr>
              <w:t>Con funciones de supervisión.</w:t>
            </w:r>
          </w:p>
        </w:tc>
      </w:tr>
      <w:tr w:rsidR="00D57209" w14:paraId="03E90C82" w14:textId="77777777" w:rsidTr="00E04267">
        <w:trPr>
          <w:trHeight w:val="587"/>
        </w:trPr>
        <w:tc>
          <w:tcPr>
            <w:tcW w:w="1980" w:type="dxa"/>
            <w:shd w:val="clear" w:color="auto" w:fill="E2EFD9" w:themeFill="accent6" w:themeFillTint="33"/>
            <w:vAlign w:val="center"/>
          </w:tcPr>
          <w:p w14:paraId="7E2C0B98" w14:textId="77777777" w:rsidR="00D57209" w:rsidRPr="00A7447C" w:rsidRDefault="00D57209" w:rsidP="00E04267">
            <w:pPr>
              <w:rPr>
                <w:color w:val="1F3864" w:themeColor="accent5" w:themeShade="80"/>
              </w:rPr>
            </w:pPr>
            <w:r w:rsidRPr="00A7447C">
              <w:rPr>
                <w:color w:val="1F3864" w:themeColor="accent5" w:themeShade="80"/>
              </w:rPr>
              <w:t>Alcances de los resultados</w:t>
            </w:r>
          </w:p>
        </w:tc>
        <w:tc>
          <w:tcPr>
            <w:tcW w:w="9214" w:type="dxa"/>
            <w:vAlign w:val="center"/>
          </w:tcPr>
          <w:p w14:paraId="7AC5BF73" w14:textId="77777777" w:rsidR="00D57209" w:rsidRPr="00A7447C" w:rsidRDefault="00D57209" w:rsidP="00E04267">
            <w:pPr>
              <w:pStyle w:val="Prrafodelista"/>
              <w:numPr>
                <w:ilvl w:val="0"/>
                <w:numId w:val="2"/>
              </w:numPr>
              <w:ind w:left="317" w:hanging="283"/>
            </w:pPr>
            <w:r w:rsidRPr="00A7447C">
              <w:t xml:space="preserve">Para los sustentantes: Diagnóstico individual en cada una de las cinco dimensiones en que se organizan las habilidades socioemocionales que valora el instrumento: auto-conciencia emocional, auto-gestión, conciencia social, habilidades para relacionarse y toma de decisiones responsable. </w:t>
            </w:r>
          </w:p>
          <w:p w14:paraId="0F4E9B16" w14:textId="77777777" w:rsidR="00D57209" w:rsidRPr="00A7447C" w:rsidRDefault="00D57209" w:rsidP="00E04267">
            <w:pPr>
              <w:pStyle w:val="Prrafodelista"/>
              <w:numPr>
                <w:ilvl w:val="0"/>
                <w:numId w:val="2"/>
              </w:numPr>
              <w:ind w:left="317" w:hanging="283"/>
            </w:pPr>
            <w:r w:rsidRPr="00A7447C">
              <w:t xml:space="preserve">Para las autoridades educativas federales: Diagnósticos a nivel nacional sobre habilidades socioemocionales en la población objetivo por figura, nivel y modalidad educativa, con la identificación de patrones de fortalezas y áreas de oportunidad por cada una de las cinco dimensiones en las que se organiza el instrumento y para cada una de las 46 habilidades.  </w:t>
            </w:r>
          </w:p>
          <w:p w14:paraId="55A05BA8" w14:textId="77777777" w:rsidR="00D57209" w:rsidRPr="00A7447C" w:rsidRDefault="00D57209" w:rsidP="00E04267">
            <w:pPr>
              <w:pStyle w:val="Prrafodelista"/>
              <w:numPr>
                <w:ilvl w:val="0"/>
                <w:numId w:val="2"/>
              </w:numPr>
              <w:ind w:left="317" w:hanging="283"/>
            </w:pPr>
            <w:r w:rsidRPr="00A7447C">
              <w:t xml:space="preserve">Para las autoridades locales: Diagnósticos locales sobre habilidades socioemocionales en la población objetivo por figura, nivel y modalidad educativa, con la identificación de patrones de fortalezas y áreas de oportunidad por cada una de las cinco dimensiones en las que se organiza el instrumento y para cada una de las 46 habilidades. </w:t>
            </w:r>
          </w:p>
        </w:tc>
      </w:tr>
      <w:tr w:rsidR="00D57209" w14:paraId="615AB79C" w14:textId="77777777" w:rsidTr="00E04267">
        <w:trPr>
          <w:trHeight w:val="587"/>
        </w:trPr>
        <w:tc>
          <w:tcPr>
            <w:tcW w:w="1980" w:type="dxa"/>
            <w:shd w:val="clear" w:color="auto" w:fill="E2EFD9" w:themeFill="accent6" w:themeFillTint="33"/>
            <w:vAlign w:val="center"/>
          </w:tcPr>
          <w:p w14:paraId="1E918DDA" w14:textId="77777777" w:rsidR="00D57209" w:rsidRPr="00A7447C" w:rsidRDefault="00D57209" w:rsidP="00E04267">
            <w:pPr>
              <w:rPr>
                <w:color w:val="1F3864" w:themeColor="accent5" w:themeShade="80"/>
              </w:rPr>
            </w:pPr>
            <w:r w:rsidRPr="00A7447C">
              <w:rPr>
                <w:color w:val="1F3864" w:themeColor="accent5" w:themeShade="80"/>
              </w:rPr>
              <w:t>Uso de los resultados</w:t>
            </w:r>
          </w:p>
        </w:tc>
        <w:tc>
          <w:tcPr>
            <w:tcW w:w="9214" w:type="dxa"/>
            <w:vAlign w:val="center"/>
          </w:tcPr>
          <w:p w14:paraId="50FBA7A1" w14:textId="77777777" w:rsidR="00D57209" w:rsidRDefault="00D57209" w:rsidP="00E04267">
            <w:r>
              <w:t xml:space="preserve">Emisión de recomendaciones sobre los contenidos necesarios a considerar en acciones de formación continua de acuerdo con las áreas de oportunidad identificadas, con el fin de fortalecer las habilidades socioemocionales en la población objetivo, </w:t>
            </w:r>
            <w:r w:rsidRPr="00A7447C">
              <w:t>por figura, nivel y modalidad educativa.</w:t>
            </w:r>
          </w:p>
        </w:tc>
      </w:tr>
      <w:tr w:rsidR="00D57209" w14:paraId="671487CA" w14:textId="77777777" w:rsidTr="00E04267">
        <w:trPr>
          <w:trHeight w:val="587"/>
        </w:trPr>
        <w:tc>
          <w:tcPr>
            <w:tcW w:w="1980" w:type="dxa"/>
            <w:shd w:val="clear" w:color="auto" w:fill="E2EFD9" w:themeFill="accent6" w:themeFillTint="33"/>
            <w:vAlign w:val="center"/>
          </w:tcPr>
          <w:p w14:paraId="7042B9A1" w14:textId="77777777" w:rsidR="00D57209" w:rsidRPr="00A7447C" w:rsidRDefault="00D57209" w:rsidP="00E04267">
            <w:pPr>
              <w:rPr>
                <w:color w:val="1F3864" w:themeColor="accent5" w:themeShade="80"/>
              </w:rPr>
            </w:pPr>
            <w:r w:rsidRPr="00A7447C">
              <w:rPr>
                <w:color w:val="1F3864" w:themeColor="accent5" w:themeShade="80"/>
              </w:rPr>
              <w:t>Impacto</w:t>
            </w:r>
          </w:p>
        </w:tc>
        <w:tc>
          <w:tcPr>
            <w:tcW w:w="9214" w:type="dxa"/>
            <w:vAlign w:val="center"/>
          </w:tcPr>
          <w:p w14:paraId="4AD84D26" w14:textId="77777777" w:rsidR="00D57209" w:rsidRDefault="00D57209" w:rsidP="00E04267">
            <w:r>
              <w:t xml:space="preserve">Medio. A partir de sus resultados se emiten recomendaciones sobre estrategias y contenidos formativos que fortalezcan las habilidades socioemocionales en los docentes, directivos y supervisores del país. </w:t>
            </w:r>
            <w:r w:rsidRPr="00406A38">
              <w:rPr>
                <w:highlight w:val="cyan"/>
              </w:rPr>
              <w:t>En general el impacto será alto</w:t>
            </w:r>
          </w:p>
        </w:tc>
      </w:tr>
      <w:tr w:rsidR="00D57209" w14:paraId="7BB8E356" w14:textId="77777777" w:rsidTr="00E04267">
        <w:trPr>
          <w:trHeight w:val="587"/>
        </w:trPr>
        <w:tc>
          <w:tcPr>
            <w:tcW w:w="1980" w:type="dxa"/>
            <w:shd w:val="clear" w:color="auto" w:fill="E2EFD9" w:themeFill="accent6" w:themeFillTint="33"/>
            <w:vAlign w:val="center"/>
          </w:tcPr>
          <w:p w14:paraId="19AA3A2F" w14:textId="77777777" w:rsidR="00D57209" w:rsidRPr="00A7447C" w:rsidRDefault="00D57209" w:rsidP="00E04267">
            <w:pPr>
              <w:rPr>
                <w:color w:val="1F3864" w:themeColor="accent5" w:themeShade="80"/>
              </w:rPr>
            </w:pPr>
            <w:r w:rsidRPr="00A7447C">
              <w:rPr>
                <w:color w:val="1F3864" w:themeColor="accent5" w:themeShade="80"/>
              </w:rPr>
              <w:t>Sensibilidad a la práctica</w:t>
            </w:r>
          </w:p>
        </w:tc>
        <w:tc>
          <w:tcPr>
            <w:tcW w:w="9214" w:type="dxa"/>
            <w:vAlign w:val="center"/>
          </w:tcPr>
          <w:p w14:paraId="3286E2D5" w14:textId="77777777" w:rsidR="00D57209" w:rsidRDefault="00D57209" w:rsidP="00E04267">
            <w:r>
              <w:t>Alta. Las afirmaciones a valorar por parte del sustentante están adaptadas a los perfiles profesionales correspondientes, a fin de que los sustentantes se sientan identificados con el tipo de prácticas, decisiones, relaciones y situaciones a las que se hace referencia.</w:t>
            </w:r>
          </w:p>
        </w:tc>
      </w:tr>
      <w:tr w:rsidR="00D57209" w14:paraId="7FBD72CA" w14:textId="77777777" w:rsidTr="00E04267">
        <w:trPr>
          <w:trHeight w:val="475"/>
        </w:trPr>
        <w:tc>
          <w:tcPr>
            <w:tcW w:w="1980" w:type="dxa"/>
            <w:shd w:val="clear" w:color="auto" w:fill="E2EFD9" w:themeFill="accent6" w:themeFillTint="33"/>
            <w:vAlign w:val="center"/>
          </w:tcPr>
          <w:p w14:paraId="7EF651E6" w14:textId="77777777" w:rsidR="00D57209" w:rsidRPr="00A7447C" w:rsidRDefault="00D57209" w:rsidP="00E04267">
            <w:pPr>
              <w:rPr>
                <w:color w:val="1F3864" w:themeColor="accent5" w:themeShade="80"/>
              </w:rPr>
            </w:pPr>
            <w:r w:rsidRPr="00A7447C">
              <w:rPr>
                <w:color w:val="1F3864" w:themeColor="accent5" w:themeShade="80"/>
              </w:rPr>
              <w:t>Cobertura</w:t>
            </w:r>
          </w:p>
        </w:tc>
        <w:tc>
          <w:tcPr>
            <w:tcW w:w="9214" w:type="dxa"/>
            <w:vAlign w:val="center"/>
          </w:tcPr>
          <w:p w14:paraId="4AB0E7E7" w14:textId="77777777" w:rsidR="00D57209" w:rsidRDefault="00D57209" w:rsidP="00E04267">
            <w:r>
              <w:t>Nacional.</w:t>
            </w:r>
          </w:p>
        </w:tc>
      </w:tr>
      <w:tr w:rsidR="00D57209" w14:paraId="1B0AD5CC" w14:textId="77777777" w:rsidTr="00E04267">
        <w:trPr>
          <w:trHeight w:val="475"/>
        </w:trPr>
        <w:tc>
          <w:tcPr>
            <w:tcW w:w="11194" w:type="dxa"/>
            <w:gridSpan w:val="2"/>
            <w:shd w:val="clear" w:color="auto" w:fill="E2EFD9" w:themeFill="accent6" w:themeFillTint="33"/>
            <w:vAlign w:val="center"/>
          </w:tcPr>
          <w:p w14:paraId="21E9A27A" w14:textId="77777777" w:rsidR="00D57209" w:rsidRDefault="00D57209" w:rsidP="00E04267">
            <w:pPr>
              <w:jc w:val="center"/>
            </w:pPr>
            <w:r>
              <w:rPr>
                <w:color w:val="1F3864" w:themeColor="accent5" w:themeShade="80"/>
                <w:sz w:val="28"/>
                <w:szCs w:val="28"/>
              </w:rPr>
              <w:t>Etapa 1. Examen de acreditación del curso de Habilidades Docentes para la Nueva Escuela Mexicana</w:t>
            </w:r>
          </w:p>
        </w:tc>
      </w:tr>
      <w:tr w:rsidR="00D57209" w14:paraId="1B8EC896" w14:textId="77777777" w:rsidTr="00E04267">
        <w:tblPrEx>
          <w:tblBorders>
            <w:insideH w:val="none" w:sz="0" w:space="0" w:color="auto"/>
            <w:insideV w:val="none" w:sz="0" w:space="0" w:color="auto"/>
          </w:tblBorders>
        </w:tblPrEx>
        <w:trPr>
          <w:trHeight w:val="346"/>
        </w:trPr>
        <w:tc>
          <w:tcPr>
            <w:tcW w:w="1980" w:type="dxa"/>
            <w:shd w:val="clear" w:color="auto" w:fill="E2EFD9" w:themeFill="accent6" w:themeFillTint="33"/>
            <w:vAlign w:val="center"/>
          </w:tcPr>
          <w:p w14:paraId="09B8C4C9" w14:textId="77777777" w:rsidR="00D57209" w:rsidRPr="00A7447C" w:rsidRDefault="00D57209" w:rsidP="00E04267">
            <w:pPr>
              <w:jc w:val="center"/>
              <w:rPr>
                <w:color w:val="1F3864" w:themeColor="accent5" w:themeShade="80"/>
              </w:rPr>
            </w:pPr>
            <w:r w:rsidRPr="00A7447C">
              <w:rPr>
                <w:color w:val="1F3864" w:themeColor="accent5" w:themeShade="80"/>
              </w:rPr>
              <w:t>Rubro</w:t>
            </w:r>
          </w:p>
        </w:tc>
        <w:tc>
          <w:tcPr>
            <w:tcW w:w="9214" w:type="dxa"/>
            <w:shd w:val="clear" w:color="auto" w:fill="E2EFD9" w:themeFill="accent6" w:themeFillTint="33"/>
            <w:vAlign w:val="center"/>
          </w:tcPr>
          <w:p w14:paraId="1062060D" w14:textId="77777777" w:rsidR="00D57209" w:rsidRPr="007B3B46" w:rsidRDefault="00D57209" w:rsidP="00E04267">
            <w:pPr>
              <w:jc w:val="center"/>
            </w:pPr>
            <w:r w:rsidRPr="00A7447C">
              <w:rPr>
                <w:color w:val="1F3864" w:themeColor="accent5" w:themeShade="80"/>
              </w:rPr>
              <w:t>Descripción</w:t>
            </w:r>
          </w:p>
        </w:tc>
      </w:tr>
      <w:tr w:rsidR="00D57209" w14:paraId="4093A92B" w14:textId="77777777" w:rsidTr="00E04267">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FB1EE3E" w14:textId="77777777" w:rsidR="00D57209" w:rsidRPr="00A7447C" w:rsidRDefault="00D57209" w:rsidP="00E0426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bottom w:val="single" w:sz="4" w:space="0" w:color="auto"/>
            </w:tcBorders>
            <w:vAlign w:val="center"/>
          </w:tcPr>
          <w:p w14:paraId="780DB2DC" w14:textId="77777777" w:rsidR="00D57209" w:rsidRDefault="00D57209" w:rsidP="00E04267">
            <w:r>
              <w:t>Prueba objetiva</w:t>
            </w:r>
          </w:p>
        </w:tc>
      </w:tr>
      <w:tr w:rsidR="00D57209" w14:paraId="3464432D" w14:textId="77777777" w:rsidTr="00E04267">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BCDAB36" w14:textId="77777777" w:rsidR="00D57209" w:rsidRPr="00A7447C" w:rsidRDefault="00D57209" w:rsidP="00E04267">
            <w:pPr>
              <w:rPr>
                <w:color w:val="1F3864" w:themeColor="accent5" w:themeShade="80"/>
              </w:rPr>
            </w:pPr>
            <w:r>
              <w:rPr>
                <w:color w:val="1F3864" w:themeColor="accent5" w:themeShade="80"/>
              </w:rPr>
              <w:lastRenderedPageBreak/>
              <w:t>Nombre del instrumento</w:t>
            </w:r>
          </w:p>
        </w:tc>
        <w:tc>
          <w:tcPr>
            <w:tcW w:w="9214" w:type="dxa"/>
            <w:tcBorders>
              <w:top w:val="single" w:sz="4" w:space="0" w:color="auto"/>
              <w:left w:val="single" w:sz="4" w:space="0" w:color="auto"/>
              <w:bottom w:val="single" w:sz="4" w:space="0" w:color="auto"/>
            </w:tcBorders>
            <w:vAlign w:val="center"/>
          </w:tcPr>
          <w:p w14:paraId="1C2E3998" w14:textId="77777777" w:rsidR="00D57209" w:rsidRDefault="00D57209" w:rsidP="00E04267">
            <w:r w:rsidRPr="00D57209">
              <w:rPr>
                <w:bCs/>
              </w:rPr>
              <w:t>Examen</w:t>
            </w:r>
            <w:r>
              <w:rPr>
                <w:bCs/>
              </w:rPr>
              <w:t xml:space="preserve"> de acreditación del curso de Habilidades Docentes para la Nueva Escuela Mexicana.</w:t>
            </w:r>
          </w:p>
        </w:tc>
      </w:tr>
      <w:tr w:rsidR="00D57209" w14:paraId="229CAECC" w14:textId="77777777" w:rsidTr="00E04267">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0571EFB7" w14:textId="77777777" w:rsidR="00D57209" w:rsidRPr="00A7447C" w:rsidRDefault="00D57209" w:rsidP="00E0426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bottom w:val="single" w:sz="4" w:space="0" w:color="auto"/>
            </w:tcBorders>
            <w:vAlign w:val="center"/>
          </w:tcPr>
          <w:p w14:paraId="7F05F533" w14:textId="77777777" w:rsidR="00D57209" w:rsidRDefault="00D57209" w:rsidP="00E04267">
            <w:r w:rsidRPr="00A7447C">
              <w:rPr>
                <w:highlight w:val="cyan"/>
              </w:rPr>
              <w:t>Estas las asignaremos al final. Le pediría a Ramsés que incluya propuesta que habíamos acordado</w:t>
            </w:r>
          </w:p>
        </w:tc>
      </w:tr>
      <w:tr w:rsidR="0039220E" w14:paraId="79448248" w14:textId="77777777" w:rsidTr="00E04267">
        <w:tblPrEx>
          <w:tblBorders>
            <w:insideH w:val="none" w:sz="0" w:space="0" w:color="auto"/>
            <w:insideV w:val="none" w:sz="0" w:space="0" w:color="auto"/>
          </w:tblBorders>
        </w:tblPrEx>
        <w:trPr>
          <w:trHeight w:val="5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A6DDD5C" w14:textId="475A696A" w:rsidR="0039220E" w:rsidRPr="00A7447C" w:rsidRDefault="0039220E" w:rsidP="00E0426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bottom w:val="single" w:sz="4" w:space="0" w:color="auto"/>
            </w:tcBorders>
            <w:vAlign w:val="center"/>
          </w:tcPr>
          <w:p w14:paraId="13D1F8DA" w14:textId="77777777" w:rsidR="0039220E" w:rsidRPr="00A7447C" w:rsidRDefault="0039220E" w:rsidP="00E04267">
            <w:pPr>
              <w:rPr>
                <w:highlight w:val="cyan"/>
              </w:rPr>
            </w:pPr>
          </w:p>
        </w:tc>
      </w:tr>
      <w:tr w:rsidR="00D57209" w14:paraId="50E978F0" w14:textId="77777777" w:rsidTr="00E04267">
        <w:tblPrEx>
          <w:tblBorders>
            <w:insideH w:val="none" w:sz="0" w:space="0" w:color="auto"/>
            <w:insideV w:val="none" w:sz="0" w:space="0" w:color="auto"/>
          </w:tblBorders>
        </w:tblPrEx>
        <w:trPr>
          <w:trHeight w:val="553"/>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FEA98F4" w14:textId="77777777" w:rsidR="00D57209" w:rsidRPr="00A7447C" w:rsidRDefault="00D57209" w:rsidP="00E04267">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bottom w:val="single" w:sz="4" w:space="0" w:color="auto"/>
            </w:tcBorders>
            <w:vAlign w:val="center"/>
          </w:tcPr>
          <w:p w14:paraId="15FAC879" w14:textId="77777777" w:rsidR="00D57209" w:rsidRDefault="00D57209" w:rsidP="00E04267">
            <w:r>
              <w:t>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D57209" w14:paraId="25559A9B" w14:textId="77777777" w:rsidTr="00E04267">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7D164C2" w14:textId="77777777" w:rsidR="00D57209" w:rsidRPr="00A7447C" w:rsidRDefault="00D57209" w:rsidP="00E04267">
            <w:pPr>
              <w:rPr>
                <w:color w:val="1F3864" w:themeColor="accent5" w:themeShade="80"/>
              </w:rPr>
            </w:pPr>
            <w:r w:rsidRPr="00A7447C">
              <w:rPr>
                <w:color w:val="1F3864" w:themeColor="accent5" w:themeShade="80"/>
              </w:rPr>
              <w:t>Requisitos para la aplicación</w:t>
            </w:r>
          </w:p>
        </w:tc>
        <w:tc>
          <w:tcPr>
            <w:tcW w:w="9214" w:type="dxa"/>
            <w:tcBorders>
              <w:top w:val="single" w:sz="4" w:space="0" w:color="auto"/>
              <w:left w:val="single" w:sz="4" w:space="0" w:color="auto"/>
              <w:bottom w:val="single" w:sz="4" w:space="0" w:color="auto"/>
            </w:tcBorders>
            <w:vAlign w:val="center"/>
          </w:tcPr>
          <w:p w14:paraId="27132A97" w14:textId="77777777" w:rsidR="00D57209" w:rsidRDefault="00D57209" w:rsidP="00E04267">
            <w:r w:rsidRPr="00A7447C">
              <w:rPr>
                <w:highlight w:val="cyan"/>
              </w:rPr>
              <w:t>Por definir.</w:t>
            </w:r>
            <w:r>
              <w:t xml:space="preserve"> </w:t>
            </w:r>
          </w:p>
        </w:tc>
      </w:tr>
      <w:tr w:rsidR="00D57209" w14:paraId="0E586ED2" w14:textId="77777777" w:rsidTr="00E04267">
        <w:tblPrEx>
          <w:tblBorders>
            <w:insideH w:val="none" w:sz="0" w:space="0" w:color="auto"/>
            <w:insideV w:val="none" w:sz="0" w:space="0" w:color="auto"/>
          </w:tblBorders>
        </w:tblPrEx>
        <w:trPr>
          <w:trHeight w:val="55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6018E52D" w14:textId="77777777" w:rsidR="00D57209" w:rsidRPr="00A7447C" w:rsidRDefault="00D57209" w:rsidP="00E0426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bottom w:val="single" w:sz="4" w:space="0" w:color="auto"/>
            </w:tcBorders>
            <w:vAlign w:val="center"/>
          </w:tcPr>
          <w:p w14:paraId="361CEA61" w14:textId="77777777" w:rsidR="00D57209" w:rsidRDefault="00D57209" w:rsidP="00E04267">
            <w:r>
              <w:t>Segundo factor o etapa de la evaluación diagnóstica.</w:t>
            </w:r>
          </w:p>
        </w:tc>
      </w:tr>
      <w:tr w:rsidR="00D57209" w14:paraId="191B8F6E" w14:textId="77777777" w:rsidTr="00E04267">
        <w:tblPrEx>
          <w:tblBorders>
            <w:insideH w:val="none" w:sz="0" w:space="0" w:color="auto"/>
            <w:insideV w:val="none" w:sz="0" w:space="0" w:color="auto"/>
          </w:tblBorders>
        </w:tblPrEx>
        <w:trPr>
          <w:trHeight w:val="549"/>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71A0311F" w14:textId="77777777" w:rsidR="00D57209" w:rsidRPr="00A7447C" w:rsidRDefault="00D57209" w:rsidP="00E0426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bottom w:val="single" w:sz="4" w:space="0" w:color="auto"/>
            </w:tcBorders>
            <w:vAlign w:val="center"/>
          </w:tcPr>
          <w:p w14:paraId="2989735D" w14:textId="77777777" w:rsidR="00D57209" w:rsidRDefault="00D57209" w:rsidP="00E04267">
            <w:r>
              <w:t xml:space="preserve">En línea. </w:t>
            </w:r>
          </w:p>
        </w:tc>
      </w:tr>
      <w:tr w:rsidR="00D57209" w14:paraId="5BCF0B7B" w14:textId="77777777" w:rsidTr="00E04267">
        <w:tblPrEx>
          <w:tblBorders>
            <w:insideH w:val="none" w:sz="0" w:space="0" w:color="auto"/>
            <w:insideV w:val="none" w:sz="0" w:space="0" w:color="auto"/>
          </w:tblBorders>
        </w:tblPrEx>
        <w:trPr>
          <w:trHeight w:val="415"/>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15A1DDE" w14:textId="77777777" w:rsidR="00D57209" w:rsidRPr="00A7447C" w:rsidRDefault="00D57209" w:rsidP="00E0426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bottom w:val="single" w:sz="4" w:space="0" w:color="auto"/>
            </w:tcBorders>
            <w:vAlign w:val="center"/>
          </w:tcPr>
          <w:p w14:paraId="09389C40" w14:textId="77777777" w:rsidR="00D57209" w:rsidRDefault="00D57209" w:rsidP="00E04267">
            <w:r>
              <w:t>Nota: Se definirá después del piloteo.</w:t>
            </w:r>
          </w:p>
        </w:tc>
      </w:tr>
      <w:tr w:rsidR="00D57209" w14:paraId="76DA2565" w14:textId="77777777" w:rsidTr="00E04267">
        <w:tblPrEx>
          <w:tblBorders>
            <w:insideH w:val="none" w:sz="0" w:space="0" w:color="auto"/>
            <w:insideV w:val="none" w:sz="0" w:space="0" w:color="auto"/>
          </w:tblBorders>
        </w:tblPrEx>
        <w:trPr>
          <w:trHeight w:val="387"/>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30F84B6C" w14:textId="77777777" w:rsidR="00D57209" w:rsidRPr="00A7447C" w:rsidRDefault="00D57209" w:rsidP="00E0426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bottom w:val="single" w:sz="4" w:space="0" w:color="auto"/>
            </w:tcBorders>
            <w:vAlign w:val="center"/>
          </w:tcPr>
          <w:p w14:paraId="40722AA0" w14:textId="77777777" w:rsidR="00D57209" w:rsidRDefault="00D57209" w:rsidP="00E04267">
            <w:r>
              <w:t>Una</w:t>
            </w:r>
          </w:p>
        </w:tc>
      </w:tr>
      <w:tr w:rsidR="00D57209" w14:paraId="5F962B31" w14:textId="77777777" w:rsidTr="00E04267">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29D99BC3" w14:textId="77777777" w:rsidR="00D57209" w:rsidRPr="00A7447C" w:rsidRDefault="00D57209" w:rsidP="00E0426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bottom w:val="single" w:sz="4" w:space="0" w:color="auto"/>
            </w:tcBorders>
            <w:vAlign w:val="center"/>
          </w:tcPr>
          <w:p w14:paraId="1C395C49" w14:textId="77777777" w:rsidR="00D57209" w:rsidRDefault="00D57209" w:rsidP="00E04267">
            <w:r>
              <w:t xml:space="preserve">5 Áreas (dimensiones), 20 habilidades y 46 ítems. </w:t>
            </w:r>
          </w:p>
        </w:tc>
      </w:tr>
      <w:tr w:rsidR="00D57209" w14:paraId="40FD7D2F" w14:textId="77777777" w:rsidTr="00E04267">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1F03EC5E" w14:textId="77777777" w:rsidR="00D57209" w:rsidRPr="00A7447C" w:rsidRDefault="00D57209" w:rsidP="00E0426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bottom w:val="single" w:sz="4" w:space="0" w:color="auto"/>
            </w:tcBorders>
            <w:vAlign w:val="center"/>
          </w:tcPr>
          <w:p w14:paraId="748F8566" w14:textId="77777777" w:rsidR="00D57209" w:rsidRDefault="00D57209" w:rsidP="00E04267">
            <w:r>
              <w:t>Ninguna.</w:t>
            </w:r>
          </w:p>
        </w:tc>
      </w:tr>
      <w:tr w:rsidR="00D57209" w14:paraId="66A7AA1B" w14:textId="77777777" w:rsidTr="00E04267">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57B859E7" w14:textId="77777777" w:rsidR="00D57209" w:rsidRPr="00A7447C" w:rsidRDefault="00D57209" w:rsidP="00E0426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bottom w:val="single" w:sz="4" w:space="0" w:color="auto"/>
            </w:tcBorders>
            <w:vAlign w:val="center"/>
          </w:tcPr>
          <w:p w14:paraId="565DC6FD" w14:textId="77777777" w:rsidR="00D57209" w:rsidRDefault="00D57209" w:rsidP="00E04267">
            <w:r>
              <w:t>MDC</w:t>
            </w:r>
          </w:p>
        </w:tc>
      </w:tr>
      <w:tr w:rsidR="00D57209" w14:paraId="0B29BFAC" w14:textId="77777777" w:rsidTr="00E04267">
        <w:tblPrEx>
          <w:tblBorders>
            <w:insideH w:val="none" w:sz="0" w:space="0" w:color="auto"/>
            <w:insideV w:val="none" w:sz="0" w:space="0" w:color="auto"/>
          </w:tblBorders>
        </w:tblPrEx>
        <w:trPr>
          <w:trHeight w:val="562"/>
        </w:trPr>
        <w:tc>
          <w:tcPr>
            <w:tcW w:w="1980" w:type="dxa"/>
            <w:tcBorders>
              <w:top w:val="single" w:sz="4" w:space="0" w:color="auto"/>
              <w:bottom w:val="single" w:sz="4" w:space="0" w:color="auto"/>
              <w:right w:val="single" w:sz="4" w:space="0" w:color="auto"/>
            </w:tcBorders>
            <w:shd w:val="clear" w:color="auto" w:fill="E2EFD9" w:themeFill="accent6" w:themeFillTint="33"/>
            <w:vAlign w:val="center"/>
          </w:tcPr>
          <w:p w14:paraId="4935B19D" w14:textId="77777777" w:rsidR="00D57209" w:rsidRPr="00A7447C" w:rsidRDefault="00D57209" w:rsidP="00E0426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bottom w:val="single" w:sz="4" w:space="0" w:color="auto"/>
            </w:tcBorders>
            <w:vAlign w:val="center"/>
          </w:tcPr>
          <w:p w14:paraId="2BEBABC7" w14:textId="77777777" w:rsidR="00D57209" w:rsidRDefault="00D57209" w:rsidP="00E04267">
            <w:r w:rsidRPr="00A7447C">
              <w:t>Reporte individualizado por área.</w:t>
            </w:r>
            <w:r>
              <w:t xml:space="preserve"> </w:t>
            </w:r>
          </w:p>
        </w:tc>
      </w:tr>
      <w:tr w:rsidR="00D57209" w14:paraId="44E5DB4C" w14:textId="77777777" w:rsidTr="00E04267">
        <w:tblPrEx>
          <w:tblBorders>
            <w:insideH w:val="none" w:sz="0" w:space="0" w:color="auto"/>
            <w:insideV w:val="none" w:sz="0" w:space="0" w:color="auto"/>
          </w:tblBorders>
        </w:tblPrEx>
        <w:trPr>
          <w:trHeight w:val="562"/>
        </w:trPr>
        <w:tc>
          <w:tcPr>
            <w:tcW w:w="11194" w:type="dxa"/>
            <w:gridSpan w:val="2"/>
            <w:tcBorders>
              <w:top w:val="single" w:sz="4" w:space="0" w:color="auto"/>
              <w:bottom w:val="single" w:sz="4" w:space="0" w:color="auto"/>
            </w:tcBorders>
            <w:shd w:val="clear" w:color="auto" w:fill="E2EFD9" w:themeFill="accent6" w:themeFillTint="33"/>
            <w:vAlign w:val="center"/>
          </w:tcPr>
          <w:p w14:paraId="5BAADCCF" w14:textId="77777777" w:rsidR="00D57209" w:rsidRPr="00A7447C" w:rsidRDefault="00D57209" w:rsidP="00E04267">
            <w:pPr>
              <w:jc w:val="center"/>
            </w:pPr>
            <w:r>
              <w:rPr>
                <w:color w:val="1F3864" w:themeColor="accent5" w:themeShade="80"/>
                <w:sz w:val="28"/>
                <w:szCs w:val="28"/>
              </w:rPr>
              <w:t>Etapa 2. Prueba de conocimientos y aptitudes docentes</w:t>
            </w:r>
          </w:p>
        </w:tc>
      </w:tr>
      <w:tr w:rsidR="00D57209" w14:paraId="5237FECC"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11AD43E" w14:textId="77777777" w:rsidR="00D57209" w:rsidRPr="00A7447C" w:rsidRDefault="00D57209" w:rsidP="00E04267">
            <w:pPr>
              <w:rPr>
                <w:color w:val="1F3864" w:themeColor="accent5" w:themeShade="80"/>
              </w:rPr>
            </w:pPr>
            <w:r w:rsidRPr="00A7447C">
              <w:rPr>
                <w:color w:val="1F3864" w:themeColor="accent5" w:themeShade="80"/>
              </w:rPr>
              <w:t>Tipo de instrumento</w:t>
            </w:r>
          </w:p>
        </w:tc>
        <w:tc>
          <w:tcPr>
            <w:tcW w:w="9214" w:type="dxa"/>
            <w:tcBorders>
              <w:top w:val="single" w:sz="4" w:space="0" w:color="auto"/>
              <w:left w:val="single" w:sz="4" w:space="0" w:color="auto"/>
            </w:tcBorders>
            <w:vAlign w:val="center"/>
          </w:tcPr>
          <w:p w14:paraId="3D4D1C00" w14:textId="77777777" w:rsidR="00D57209" w:rsidRPr="00A7447C" w:rsidRDefault="00D57209" w:rsidP="00E04267">
            <w:r>
              <w:t>Prueba objetiva</w:t>
            </w:r>
          </w:p>
        </w:tc>
      </w:tr>
      <w:tr w:rsidR="00D57209" w14:paraId="6404DDBD"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936A6EF" w14:textId="77777777" w:rsidR="00D57209" w:rsidRPr="00A7447C" w:rsidRDefault="00D57209" w:rsidP="00E04267">
            <w:pPr>
              <w:rPr>
                <w:color w:val="1F3864" w:themeColor="accent5" w:themeShade="80"/>
              </w:rPr>
            </w:pPr>
            <w:r>
              <w:rPr>
                <w:color w:val="1F3864" w:themeColor="accent5" w:themeShade="80"/>
              </w:rPr>
              <w:t>Nombre del instrumento</w:t>
            </w:r>
          </w:p>
        </w:tc>
        <w:tc>
          <w:tcPr>
            <w:tcW w:w="9214" w:type="dxa"/>
            <w:tcBorders>
              <w:top w:val="single" w:sz="4" w:space="0" w:color="auto"/>
              <w:left w:val="single" w:sz="4" w:space="0" w:color="auto"/>
            </w:tcBorders>
            <w:vAlign w:val="center"/>
          </w:tcPr>
          <w:p w14:paraId="50AEFBF6" w14:textId="77777777" w:rsidR="00D57209" w:rsidRDefault="00D57209" w:rsidP="00E04267">
            <w:r w:rsidRPr="00D57209">
              <w:rPr>
                <w:bCs/>
              </w:rPr>
              <w:t>Examen</w:t>
            </w:r>
            <w:r>
              <w:rPr>
                <w:bCs/>
              </w:rPr>
              <w:t xml:space="preserve"> de acreditación del curso de Habilidades Docentes para la Nueva Escuela Mexicana.</w:t>
            </w:r>
          </w:p>
        </w:tc>
      </w:tr>
      <w:tr w:rsidR="00D57209" w14:paraId="631EBBB9"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9BB7F8B" w14:textId="77777777" w:rsidR="00D57209" w:rsidRDefault="00D57209" w:rsidP="00E04267">
            <w:pPr>
              <w:rPr>
                <w:color w:val="1F3864" w:themeColor="accent5" w:themeShade="80"/>
              </w:rPr>
            </w:pPr>
            <w:r w:rsidRPr="00A7447C">
              <w:rPr>
                <w:color w:val="1F3864" w:themeColor="accent5" w:themeShade="80"/>
              </w:rPr>
              <w:t>Clave interna</w:t>
            </w:r>
          </w:p>
        </w:tc>
        <w:tc>
          <w:tcPr>
            <w:tcW w:w="9214" w:type="dxa"/>
            <w:tcBorders>
              <w:top w:val="single" w:sz="4" w:space="0" w:color="auto"/>
              <w:left w:val="single" w:sz="4" w:space="0" w:color="auto"/>
            </w:tcBorders>
            <w:vAlign w:val="center"/>
          </w:tcPr>
          <w:p w14:paraId="1918AFD8" w14:textId="77777777" w:rsidR="00D57209" w:rsidRPr="00D57209" w:rsidRDefault="00D57209" w:rsidP="00E04267">
            <w:pPr>
              <w:rPr>
                <w:bCs/>
              </w:rPr>
            </w:pPr>
            <w:r w:rsidRPr="00A7447C">
              <w:rPr>
                <w:highlight w:val="cyan"/>
              </w:rPr>
              <w:t>Estas las asignaremos al final. Le pediría a Ramsés que incluya propuesta que habíamos acordado</w:t>
            </w:r>
          </w:p>
        </w:tc>
      </w:tr>
      <w:tr w:rsidR="0039220E" w14:paraId="7E7F6043"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6361E890" w14:textId="79D7DA41" w:rsidR="0039220E" w:rsidRPr="00A7447C" w:rsidRDefault="0039220E" w:rsidP="00E04267">
            <w:pPr>
              <w:rPr>
                <w:color w:val="1F3864" w:themeColor="accent5" w:themeShade="80"/>
              </w:rPr>
            </w:pPr>
            <w:r>
              <w:rPr>
                <w:color w:val="1F3864" w:themeColor="accent5" w:themeShade="80"/>
              </w:rPr>
              <w:t>Objetivo</w:t>
            </w:r>
          </w:p>
        </w:tc>
        <w:tc>
          <w:tcPr>
            <w:tcW w:w="9214" w:type="dxa"/>
            <w:tcBorders>
              <w:top w:val="single" w:sz="4" w:space="0" w:color="auto"/>
              <w:left w:val="single" w:sz="4" w:space="0" w:color="auto"/>
            </w:tcBorders>
            <w:vAlign w:val="center"/>
          </w:tcPr>
          <w:p w14:paraId="3E23CD14" w14:textId="77777777" w:rsidR="0039220E" w:rsidRPr="00A7447C" w:rsidRDefault="0039220E" w:rsidP="00E04267">
            <w:pPr>
              <w:rPr>
                <w:highlight w:val="cyan"/>
              </w:rPr>
            </w:pPr>
          </w:p>
        </w:tc>
      </w:tr>
      <w:tr w:rsidR="00D57209" w14:paraId="6CB8C1F7"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2D148246" w14:textId="77777777" w:rsidR="00D57209" w:rsidRPr="00A7447C" w:rsidRDefault="00D57209" w:rsidP="00E04267">
            <w:pPr>
              <w:rPr>
                <w:color w:val="1F3864" w:themeColor="accent5" w:themeShade="80"/>
              </w:rPr>
            </w:pPr>
            <w:r w:rsidRPr="00A7447C">
              <w:rPr>
                <w:color w:val="1F3864" w:themeColor="accent5" w:themeShade="80"/>
              </w:rPr>
              <w:t>Características</w:t>
            </w:r>
          </w:p>
        </w:tc>
        <w:tc>
          <w:tcPr>
            <w:tcW w:w="9214" w:type="dxa"/>
            <w:tcBorders>
              <w:top w:val="single" w:sz="4" w:space="0" w:color="auto"/>
              <w:left w:val="single" w:sz="4" w:space="0" w:color="auto"/>
            </w:tcBorders>
            <w:vAlign w:val="center"/>
          </w:tcPr>
          <w:p w14:paraId="06D677A6" w14:textId="77777777" w:rsidR="00D57209" w:rsidRPr="00A7447C" w:rsidRDefault="00D57209" w:rsidP="00E04267">
            <w:pPr>
              <w:rPr>
                <w:highlight w:val="cyan"/>
              </w:rPr>
            </w:pPr>
            <w:r>
              <w:t xml:space="preserve">Contiene 46 ítems que consisten en afirmaciones asociadas a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w:t>
            </w:r>
            <w:r>
              <w:lastRenderedPageBreak/>
              <w:t>sobre su conducta y actitudes de orden socioemocional.  Las cuatro categorías son: 1) casi nunca, 2) algunas veces, 3) con frecuencia, y 4) casi siempre.</w:t>
            </w:r>
          </w:p>
        </w:tc>
      </w:tr>
      <w:tr w:rsidR="00D57209" w14:paraId="7236D2B4"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06F61672" w14:textId="77777777" w:rsidR="00D57209" w:rsidRPr="00A7447C" w:rsidRDefault="00D57209" w:rsidP="00E04267">
            <w:pPr>
              <w:rPr>
                <w:color w:val="1F3864" w:themeColor="accent5" w:themeShade="80"/>
              </w:rPr>
            </w:pPr>
            <w:r w:rsidRPr="00A7447C">
              <w:rPr>
                <w:color w:val="1F3864" w:themeColor="accent5" w:themeShade="80"/>
              </w:rPr>
              <w:lastRenderedPageBreak/>
              <w:t>Requisitos para la aplicación</w:t>
            </w:r>
          </w:p>
        </w:tc>
        <w:tc>
          <w:tcPr>
            <w:tcW w:w="9214" w:type="dxa"/>
            <w:tcBorders>
              <w:top w:val="single" w:sz="4" w:space="0" w:color="auto"/>
              <w:left w:val="single" w:sz="4" w:space="0" w:color="auto"/>
            </w:tcBorders>
            <w:vAlign w:val="center"/>
          </w:tcPr>
          <w:p w14:paraId="29C7D4AE" w14:textId="77777777" w:rsidR="00D57209" w:rsidRDefault="00D57209" w:rsidP="00E04267">
            <w:r w:rsidRPr="00A7447C">
              <w:rPr>
                <w:highlight w:val="cyan"/>
              </w:rPr>
              <w:t>Por definir.</w:t>
            </w:r>
            <w:r>
              <w:t xml:space="preserve"> </w:t>
            </w:r>
          </w:p>
        </w:tc>
      </w:tr>
      <w:tr w:rsidR="00D57209" w14:paraId="0F91169C"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3E25C6" w14:textId="77777777" w:rsidR="00D57209" w:rsidRPr="00A7447C" w:rsidRDefault="00D57209" w:rsidP="00E04267">
            <w:pPr>
              <w:rPr>
                <w:color w:val="1F3864" w:themeColor="accent5" w:themeShade="80"/>
              </w:rPr>
            </w:pPr>
            <w:r w:rsidRPr="00A7447C">
              <w:rPr>
                <w:color w:val="1F3864" w:themeColor="accent5" w:themeShade="80"/>
              </w:rPr>
              <w:t>Momento de aplicación</w:t>
            </w:r>
          </w:p>
        </w:tc>
        <w:tc>
          <w:tcPr>
            <w:tcW w:w="9214" w:type="dxa"/>
            <w:tcBorders>
              <w:top w:val="single" w:sz="4" w:space="0" w:color="auto"/>
              <w:left w:val="single" w:sz="4" w:space="0" w:color="auto"/>
            </w:tcBorders>
            <w:vAlign w:val="center"/>
          </w:tcPr>
          <w:p w14:paraId="373BE370" w14:textId="77777777" w:rsidR="00D57209" w:rsidRPr="00A7447C" w:rsidRDefault="00D57209" w:rsidP="00E04267">
            <w:pPr>
              <w:rPr>
                <w:highlight w:val="cyan"/>
              </w:rPr>
            </w:pPr>
            <w:r>
              <w:t>Segundo factor o etapa de la evaluación diagnóstica.</w:t>
            </w:r>
          </w:p>
        </w:tc>
      </w:tr>
      <w:tr w:rsidR="00D57209" w14:paraId="5D98FB54"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4C1D06C2" w14:textId="77777777" w:rsidR="00D57209" w:rsidRPr="00A7447C" w:rsidRDefault="00D57209" w:rsidP="00E04267">
            <w:pPr>
              <w:rPr>
                <w:color w:val="1F3864" w:themeColor="accent5" w:themeShade="80"/>
              </w:rPr>
            </w:pPr>
            <w:r w:rsidRPr="00A7447C">
              <w:rPr>
                <w:color w:val="1F3864" w:themeColor="accent5" w:themeShade="80"/>
              </w:rPr>
              <w:t>Tipo de aplicación</w:t>
            </w:r>
          </w:p>
        </w:tc>
        <w:tc>
          <w:tcPr>
            <w:tcW w:w="9214" w:type="dxa"/>
            <w:tcBorders>
              <w:top w:val="single" w:sz="4" w:space="0" w:color="auto"/>
              <w:left w:val="single" w:sz="4" w:space="0" w:color="auto"/>
            </w:tcBorders>
            <w:vAlign w:val="center"/>
          </w:tcPr>
          <w:p w14:paraId="10992123" w14:textId="77777777" w:rsidR="00D57209" w:rsidRDefault="00D57209" w:rsidP="00E04267">
            <w:r>
              <w:t xml:space="preserve">En línea. </w:t>
            </w:r>
          </w:p>
        </w:tc>
      </w:tr>
      <w:tr w:rsidR="00D57209" w14:paraId="2CB5F068"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0EEA785" w14:textId="77777777" w:rsidR="00D57209" w:rsidRPr="00A7447C" w:rsidRDefault="00D57209" w:rsidP="00E04267">
            <w:pPr>
              <w:rPr>
                <w:color w:val="1F3864" w:themeColor="accent5" w:themeShade="80"/>
              </w:rPr>
            </w:pPr>
            <w:r w:rsidRPr="00A7447C">
              <w:rPr>
                <w:color w:val="1F3864" w:themeColor="accent5" w:themeShade="80"/>
              </w:rPr>
              <w:t>Duración de la aplicación</w:t>
            </w:r>
          </w:p>
        </w:tc>
        <w:tc>
          <w:tcPr>
            <w:tcW w:w="9214" w:type="dxa"/>
            <w:tcBorders>
              <w:top w:val="single" w:sz="4" w:space="0" w:color="auto"/>
              <w:left w:val="single" w:sz="4" w:space="0" w:color="auto"/>
            </w:tcBorders>
            <w:vAlign w:val="center"/>
          </w:tcPr>
          <w:p w14:paraId="6E9D89A2" w14:textId="77777777" w:rsidR="00D57209" w:rsidRDefault="00D57209" w:rsidP="00E04267">
            <w:r>
              <w:t>Nota: Se definirá después del piloteo.</w:t>
            </w:r>
          </w:p>
        </w:tc>
      </w:tr>
      <w:tr w:rsidR="00D57209" w14:paraId="223DA0D6"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AD496A1" w14:textId="77777777" w:rsidR="00D57209" w:rsidRPr="00A7447C" w:rsidRDefault="00D57209" w:rsidP="00E04267">
            <w:pPr>
              <w:rPr>
                <w:color w:val="1F3864" w:themeColor="accent5" w:themeShade="80"/>
              </w:rPr>
            </w:pPr>
            <w:r w:rsidRPr="00A7447C">
              <w:rPr>
                <w:color w:val="1F3864" w:themeColor="accent5" w:themeShade="80"/>
              </w:rPr>
              <w:t>Número de sesiones</w:t>
            </w:r>
          </w:p>
        </w:tc>
        <w:tc>
          <w:tcPr>
            <w:tcW w:w="9214" w:type="dxa"/>
            <w:tcBorders>
              <w:top w:val="single" w:sz="4" w:space="0" w:color="auto"/>
              <w:left w:val="single" w:sz="4" w:space="0" w:color="auto"/>
            </w:tcBorders>
            <w:vAlign w:val="center"/>
          </w:tcPr>
          <w:p w14:paraId="28A377F4" w14:textId="77777777" w:rsidR="00D57209" w:rsidRDefault="00D57209" w:rsidP="00E04267">
            <w:r>
              <w:t>Una</w:t>
            </w:r>
          </w:p>
        </w:tc>
      </w:tr>
      <w:tr w:rsidR="00D57209" w14:paraId="068F226F"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14FF960" w14:textId="77777777" w:rsidR="00D57209" w:rsidRPr="00A7447C" w:rsidRDefault="00D57209" w:rsidP="00E04267">
            <w:pPr>
              <w:rPr>
                <w:color w:val="1F3864" w:themeColor="accent5" w:themeShade="80"/>
              </w:rPr>
            </w:pPr>
            <w:r w:rsidRPr="00A7447C">
              <w:rPr>
                <w:color w:val="1F3864" w:themeColor="accent5" w:themeShade="80"/>
              </w:rPr>
              <w:t>Longitud del instrumento</w:t>
            </w:r>
          </w:p>
        </w:tc>
        <w:tc>
          <w:tcPr>
            <w:tcW w:w="9214" w:type="dxa"/>
            <w:tcBorders>
              <w:top w:val="single" w:sz="4" w:space="0" w:color="auto"/>
              <w:left w:val="single" w:sz="4" w:space="0" w:color="auto"/>
            </w:tcBorders>
            <w:vAlign w:val="center"/>
          </w:tcPr>
          <w:p w14:paraId="641EA43A" w14:textId="77777777" w:rsidR="00D57209" w:rsidRDefault="00D57209" w:rsidP="00E04267">
            <w:r>
              <w:t xml:space="preserve">5 Áreas (dimensiones), 20 habilidades y 46 ítems. </w:t>
            </w:r>
          </w:p>
        </w:tc>
      </w:tr>
      <w:tr w:rsidR="00D57209" w14:paraId="482C97AE"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3C28BC3D" w14:textId="77777777" w:rsidR="00D57209" w:rsidRPr="00A7447C" w:rsidRDefault="00D57209" w:rsidP="00E04267">
            <w:pPr>
              <w:rPr>
                <w:color w:val="1F3864" w:themeColor="accent5" w:themeShade="80"/>
              </w:rPr>
            </w:pPr>
            <w:r w:rsidRPr="00A7447C">
              <w:rPr>
                <w:color w:val="1F3864" w:themeColor="accent5" w:themeShade="80"/>
              </w:rPr>
              <w:t>Evidencias adicionales</w:t>
            </w:r>
          </w:p>
        </w:tc>
        <w:tc>
          <w:tcPr>
            <w:tcW w:w="9214" w:type="dxa"/>
            <w:tcBorders>
              <w:top w:val="single" w:sz="4" w:space="0" w:color="auto"/>
              <w:left w:val="single" w:sz="4" w:space="0" w:color="auto"/>
            </w:tcBorders>
            <w:vAlign w:val="center"/>
          </w:tcPr>
          <w:p w14:paraId="01CA47AE" w14:textId="77777777" w:rsidR="00D57209" w:rsidRDefault="00D57209" w:rsidP="00E04267">
            <w:r>
              <w:t>Ninguna.</w:t>
            </w:r>
          </w:p>
        </w:tc>
      </w:tr>
      <w:tr w:rsidR="00D57209" w14:paraId="70391C8E"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71C3D443" w14:textId="77777777" w:rsidR="00D57209" w:rsidRPr="00A7447C" w:rsidRDefault="00D57209" w:rsidP="00E04267">
            <w:pPr>
              <w:rPr>
                <w:color w:val="1F3864" w:themeColor="accent5" w:themeShade="80"/>
              </w:rPr>
            </w:pPr>
            <w:r w:rsidRPr="00A7447C">
              <w:rPr>
                <w:color w:val="1F3864" w:themeColor="accent5" w:themeShade="80"/>
              </w:rPr>
              <w:t>Tipo y referente de calificación:</w:t>
            </w:r>
          </w:p>
        </w:tc>
        <w:tc>
          <w:tcPr>
            <w:tcW w:w="9214" w:type="dxa"/>
            <w:tcBorders>
              <w:top w:val="single" w:sz="4" w:space="0" w:color="auto"/>
              <w:left w:val="single" w:sz="4" w:space="0" w:color="auto"/>
            </w:tcBorders>
            <w:vAlign w:val="center"/>
          </w:tcPr>
          <w:p w14:paraId="00B30E52" w14:textId="77777777" w:rsidR="00D57209" w:rsidRDefault="00D57209" w:rsidP="00E04267">
            <w:r>
              <w:t>MDC</w:t>
            </w:r>
          </w:p>
        </w:tc>
      </w:tr>
      <w:tr w:rsidR="00D57209" w14:paraId="4A154128" w14:textId="77777777" w:rsidTr="00E04267">
        <w:tblPrEx>
          <w:tblBorders>
            <w:insideH w:val="none" w:sz="0" w:space="0" w:color="auto"/>
            <w:insideV w:val="none" w:sz="0" w:space="0" w:color="auto"/>
          </w:tblBorders>
        </w:tblPrEx>
        <w:trPr>
          <w:trHeight w:val="562"/>
        </w:trPr>
        <w:tc>
          <w:tcPr>
            <w:tcW w:w="1980" w:type="dxa"/>
            <w:tcBorders>
              <w:top w:val="single" w:sz="4" w:space="0" w:color="auto"/>
              <w:right w:val="single" w:sz="4" w:space="0" w:color="auto"/>
            </w:tcBorders>
            <w:shd w:val="clear" w:color="auto" w:fill="E2EFD9" w:themeFill="accent6" w:themeFillTint="33"/>
            <w:vAlign w:val="center"/>
          </w:tcPr>
          <w:p w14:paraId="5A095957" w14:textId="77777777" w:rsidR="00D57209" w:rsidRPr="00A7447C" w:rsidRDefault="00D57209" w:rsidP="00E04267">
            <w:pPr>
              <w:rPr>
                <w:color w:val="1F3864" w:themeColor="accent5" w:themeShade="80"/>
              </w:rPr>
            </w:pPr>
            <w:r w:rsidRPr="00A7447C">
              <w:rPr>
                <w:color w:val="1F3864" w:themeColor="accent5" w:themeShade="80"/>
              </w:rPr>
              <w:t>Devolución de resultados:</w:t>
            </w:r>
          </w:p>
        </w:tc>
        <w:tc>
          <w:tcPr>
            <w:tcW w:w="9214" w:type="dxa"/>
            <w:tcBorders>
              <w:top w:val="single" w:sz="4" w:space="0" w:color="auto"/>
              <w:left w:val="single" w:sz="4" w:space="0" w:color="auto"/>
            </w:tcBorders>
            <w:vAlign w:val="center"/>
          </w:tcPr>
          <w:p w14:paraId="33B5373F" w14:textId="77777777" w:rsidR="00D57209" w:rsidRDefault="00D57209" w:rsidP="00E04267">
            <w:r w:rsidRPr="00A7447C">
              <w:t>Reporte individualizado por área.</w:t>
            </w:r>
            <w:r>
              <w:t xml:space="preserve"> </w:t>
            </w:r>
          </w:p>
        </w:tc>
      </w:tr>
    </w:tbl>
    <w:p w14:paraId="2C716A22" w14:textId="77777777" w:rsidR="00D57209" w:rsidRDefault="00D57209" w:rsidP="00D57209"/>
    <w:p w14:paraId="16016296" w14:textId="77777777" w:rsidR="00D57209" w:rsidRDefault="00D57209" w:rsidP="00D57209"/>
    <w:p w14:paraId="4E2FCBDD" w14:textId="77777777" w:rsidR="00D57209" w:rsidRDefault="00D57209" w:rsidP="00D57209"/>
    <w:p w14:paraId="1AACC00B" w14:textId="77777777" w:rsidR="00D57209" w:rsidRDefault="00D57209" w:rsidP="00D57209"/>
    <w:p w14:paraId="705028E8" w14:textId="77777777" w:rsidR="00D57209" w:rsidRDefault="00D57209" w:rsidP="00D57209"/>
    <w:p w14:paraId="4E3E2DFD" w14:textId="77777777" w:rsidR="00D57209" w:rsidRDefault="00D57209" w:rsidP="00D57209"/>
    <w:p w14:paraId="4277175B" w14:textId="77777777" w:rsidR="00D57209" w:rsidRDefault="00D57209" w:rsidP="00D57209"/>
    <w:p w14:paraId="6DC7CCBB" w14:textId="77777777" w:rsidR="00D57209" w:rsidRDefault="00D57209" w:rsidP="00D57209"/>
    <w:p w14:paraId="25061780" w14:textId="77777777" w:rsidR="00D57209" w:rsidRDefault="00D57209" w:rsidP="00D57209"/>
    <w:p w14:paraId="75C03CD3" w14:textId="77777777" w:rsidR="00D57209" w:rsidRDefault="00D57209" w:rsidP="00D57209"/>
    <w:p w14:paraId="5E5AD038" w14:textId="77777777" w:rsidR="00D57209" w:rsidRDefault="00D57209" w:rsidP="00232060"/>
    <w:sectPr w:rsidR="00D57209" w:rsidSect="00232060">
      <w:pgSz w:w="12240" w:h="15840"/>
      <w:pgMar w:top="1440" w:right="758"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881D90"/>
    <w:multiLevelType w:val="hybridMultilevel"/>
    <w:tmpl w:val="B650D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32A9E"/>
    <w:rsid w:val="00047FF0"/>
    <w:rsid w:val="001169D6"/>
    <w:rsid w:val="00190E6F"/>
    <w:rsid w:val="002064C2"/>
    <w:rsid w:val="00232060"/>
    <w:rsid w:val="00283A2C"/>
    <w:rsid w:val="00380D1A"/>
    <w:rsid w:val="0039220E"/>
    <w:rsid w:val="00392CE6"/>
    <w:rsid w:val="00406A38"/>
    <w:rsid w:val="00426081"/>
    <w:rsid w:val="004A0EA3"/>
    <w:rsid w:val="005A0D96"/>
    <w:rsid w:val="005D5071"/>
    <w:rsid w:val="00661B99"/>
    <w:rsid w:val="006F0544"/>
    <w:rsid w:val="007051F3"/>
    <w:rsid w:val="00724811"/>
    <w:rsid w:val="0073033C"/>
    <w:rsid w:val="00735196"/>
    <w:rsid w:val="007770A6"/>
    <w:rsid w:val="007B3B46"/>
    <w:rsid w:val="007B7608"/>
    <w:rsid w:val="00947E89"/>
    <w:rsid w:val="00A7447C"/>
    <w:rsid w:val="00AD24E1"/>
    <w:rsid w:val="00AE2E9D"/>
    <w:rsid w:val="00C325E4"/>
    <w:rsid w:val="00C627D5"/>
    <w:rsid w:val="00CB3065"/>
    <w:rsid w:val="00D57209"/>
    <w:rsid w:val="00DF203E"/>
    <w:rsid w:val="00E8690F"/>
    <w:rsid w:val="00F01DBB"/>
    <w:rsid w:val="00F03027"/>
    <w:rsid w:val="00F66B8D"/>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9DB"/>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7</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asus</cp:lastModifiedBy>
  <cp:revision>5</cp:revision>
  <dcterms:created xsi:type="dcterms:W3CDTF">2019-12-31T03:34:00Z</dcterms:created>
  <dcterms:modified xsi:type="dcterms:W3CDTF">2019-12-31T15:45:00Z</dcterms:modified>
</cp:coreProperties>
</file>