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80D" w:rsidRPr="00A606B9" w:rsidRDefault="0052080D" w:rsidP="0052080D">
      <w:pPr>
        <w:jc w:val="center"/>
        <w:rPr>
          <w:sz w:val="24"/>
          <w:szCs w:val="24"/>
        </w:rPr>
      </w:pPr>
      <w:r w:rsidRPr="003136F9">
        <w:rPr>
          <w:color w:val="002060"/>
          <w:sz w:val="24"/>
          <w:szCs w:val="24"/>
        </w:rPr>
        <w:t>Tabla 2. Herramientas del S</w:t>
      </w:r>
      <w:r>
        <w:rPr>
          <w:color w:val="002060"/>
          <w:sz w:val="24"/>
          <w:szCs w:val="24"/>
        </w:rPr>
        <w:t>istema de apreciación de conocimientos y aptitudes</w:t>
      </w:r>
    </w:p>
    <w:tbl>
      <w:tblPr>
        <w:tblStyle w:val="Tablaconcuadrcula"/>
        <w:tblW w:w="9356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1276"/>
        <w:gridCol w:w="2268"/>
        <w:gridCol w:w="1276"/>
        <w:gridCol w:w="1559"/>
        <w:gridCol w:w="1560"/>
        <w:gridCol w:w="1417"/>
      </w:tblGrid>
      <w:tr w:rsidR="0052080D" w:rsidRPr="00E45DC4" w:rsidTr="0052080D"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52080D">
              <w:rPr>
                <w:rFonts w:cstheme="minorHAnsi"/>
                <w:color w:val="002060"/>
                <w:sz w:val="16"/>
                <w:szCs w:val="16"/>
              </w:rPr>
              <w:t>Tipo de instrumento</w:t>
            </w:r>
          </w:p>
        </w:tc>
        <w:tc>
          <w:tcPr>
            <w:tcW w:w="22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52080D">
              <w:rPr>
                <w:rFonts w:cstheme="minorHAnsi"/>
                <w:color w:val="002060"/>
                <w:sz w:val="16"/>
                <w:szCs w:val="16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52080D">
              <w:rPr>
                <w:rFonts w:cstheme="minorHAnsi"/>
                <w:color w:val="002060"/>
                <w:sz w:val="16"/>
                <w:szCs w:val="16"/>
              </w:rPr>
              <w:t>Procesos en que se aplican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52080D">
              <w:rPr>
                <w:rFonts w:cstheme="minorHAnsi"/>
                <w:color w:val="002060"/>
                <w:sz w:val="16"/>
                <w:szCs w:val="16"/>
              </w:rPr>
              <w:t>Aplicación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52080D">
            <w:pPr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52080D">
              <w:rPr>
                <w:rFonts w:cstheme="minorHAnsi"/>
                <w:color w:val="002060"/>
                <w:sz w:val="16"/>
                <w:szCs w:val="16"/>
              </w:rPr>
              <w:t>Diseño y validación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52080D">
            <w:pPr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>
              <w:rPr>
                <w:rFonts w:cstheme="minorHAnsi"/>
                <w:color w:val="002060"/>
                <w:sz w:val="16"/>
                <w:szCs w:val="16"/>
              </w:rPr>
              <w:t>Calificación</w:t>
            </w:r>
          </w:p>
        </w:tc>
      </w:tr>
      <w:tr w:rsidR="0052080D" w:rsidRPr="00E45DC4" w:rsidTr="0052080D"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Curso Habilidades Docentes para la Nueva Escuela Mexicana</w:t>
            </w:r>
          </w:p>
        </w:tc>
        <w:tc>
          <w:tcPr>
            <w:tcW w:w="22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 xml:space="preserve">Es un curso organizado en 4 módulos, 40 horas y 4 semanas de duración. Para las actividades se emplean videos, audios, lecturas y ejercicios. Se incluyen breves cuestionarios al final de los módulos para retroalimentar de manera inmediata al participante. Su evaluación final consiste en una prueba objetiva de 20 reactivos sobre los contenidos.  </w:t>
            </w: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Admisión.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shd w:val="clear" w:color="auto" w:fill="FFFFFF"/>
              <w:rPr>
                <w:rFonts w:eastAsia="Times New Roman" w:cstheme="minorHAnsi"/>
                <w:sz w:val="16"/>
                <w:szCs w:val="16"/>
                <w:lang w:eastAsia="es-MX"/>
              </w:rPr>
            </w:pPr>
            <w:r w:rsidRPr="0052080D">
              <w:rPr>
                <w:rFonts w:cstheme="minorHAnsi"/>
                <w:sz w:val="16"/>
                <w:szCs w:val="16"/>
              </w:rPr>
              <w:t>Auto-gestiva, m</w:t>
            </w:r>
            <w:r w:rsidRPr="0052080D">
              <w:rPr>
                <w:rFonts w:eastAsia="Times New Roman" w:cstheme="minorHAnsi"/>
                <w:sz w:val="16"/>
                <w:szCs w:val="16"/>
                <w:lang w:eastAsia="es-MX"/>
              </w:rPr>
              <w:t xml:space="preserve">ediante una plataforma en línea, </w:t>
            </w:r>
            <w:r w:rsidRPr="0052080D">
              <w:rPr>
                <w:rFonts w:cstheme="minorHAnsi"/>
                <w:sz w:val="16"/>
                <w:szCs w:val="16"/>
              </w:rPr>
              <w:t>desde cualquier dispositivo electrónico con conexión a internet.</w:t>
            </w:r>
            <w:r w:rsidRPr="0052080D">
              <w:rPr>
                <w:rFonts w:eastAsia="Times New Roman" w:cstheme="minorHAnsi"/>
                <w:sz w:val="16"/>
                <w:szCs w:val="16"/>
                <w:lang w:eastAsia="es-MX"/>
              </w:rPr>
              <w:t xml:space="preserve"> </w:t>
            </w:r>
          </w:p>
          <w:p w:rsidR="0052080D" w:rsidRPr="0052080D" w:rsidRDefault="0052080D" w:rsidP="008D01E4">
            <w:pPr>
              <w:shd w:val="clear" w:color="auto" w:fill="FFFFFF"/>
              <w:rPr>
                <w:rFonts w:eastAsia="Times New Roman" w:cstheme="minorHAnsi"/>
                <w:sz w:val="16"/>
                <w:szCs w:val="16"/>
                <w:lang w:eastAsia="es-MX"/>
              </w:rPr>
            </w:pPr>
            <w:r w:rsidRPr="0052080D">
              <w:rPr>
                <w:rFonts w:eastAsia="Times New Roman" w:cstheme="minorHAnsi"/>
                <w:sz w:val="16"/>
                <w:szCs w:val="16"/>
                <w:lang w:eastAsia="es-MX"/>
              </w:rPr>
              <w:t xml:space="preserve">La evaluación final del curso se aplicará el mismo día del Instrumento de valoración. 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right w:val="nil"/>
            </w:tcBorders>
          </w:tcPr>
          <w:p w:rsidR="0052080D" w:rsidRPr="0052080D" w:rsidRDefault="0097425F" w:rsidP="008D01E4">
            <w:pPr>
              <w:shd w:val="clear" w:color="auto" w:fill="FFFFFF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SEP????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right w:val="nil"/>
            </w:tcBorders>
          </w:tcPr>
          <w:p w:rsidR="0052080D" w:rsidRPr="0052080D" w:rsidRDefault="0097425F" w:rsidP="008D01E4">
            <w:pPr>
              <w:shd w:val="clear" w:color="auto" w:fill="FFFFFF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Suma total del puntaje</w:t>
            </w:r>
          </w:p>
        </w:tc>
      </w:tr>
      <w:tr w:rsidR="0052080D" w:rsidRPr="00E45DC4" w:rsidTr="0052080D"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Instrumento de valoración de conocimientos y aptitudes</w:t>
            </w:r>
          </w:p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Son pruebas objetivas. Se componen por un conjunto de ítems de opción múltiple, con una sola respuesta correcta y tres distractores. Se aplicarán para valorar el dominio de conocimientos y habilidades o de determinados contenidos.</w:t>
            </w: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Admisión.</w:t>
            </w:r>
          </w:p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Promoción vertical.</w:t>
            </w:r>
          </w:p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Evaluación diagnóstica.</w:t>
            </w:r>
          </w:p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Promoción horizontal.</w:t>
            </w:r>
          </w:p>
        </w:tc>
        <w:tc>
          <w:tcPr>
            <w:tcW w:w="1559" w:type="dxa"/>
            <w:vMerge w:val="restart"/>
            <w:tcBorders>
              <w:top w:val="single" w:sz="4" w:space="0" w:color="002060"/>
              <w:left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shd w:val="clear" w:color="auto" w:fill="FFFFFF"/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eastAsia="Times New Roman" w:cstheme="minorHAnsi"/>
                <w:sz w:val="16"/>
                <w:szCs w:val="16"/>
                <w:lang w:eastAsia="es-MX"/>
              </w:rPr>
              <w:t xml:space="preserve">La aplicación de estos instrumentos será en una sede mediante una plataforma en línea. 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right w:val="nil"/>
            </w:tcBorders>
          </w:tcPr>
          <w:p w:rsidR="0052080D" w:rsidRPr="0052080D" w:rsidRDefault="0097425F" w:rsidP="008D01E4">
            <w:pPr>
              <w:shd w:val="clear" w:color="auto" w:fill="FFFFFF"/>
              <w:rPr>
                <w:rFonts w:eastAsia="Times New Roman" w:cstheme="minorHAnsi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sz w:val="16"/>
                <w:szCs w:val="16"/>
                <w:lang w:eastAsia="es-MX"/>
              </w:rPr>
              <w:t>Modelos de Diagnóstico Cognitivo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right w:val="nil"/>
            </w:tcBorders>
          </w:tcPr>
          <w:p w:rsidR="0052080D" w:rsidRPr="0052080D" w:rsidRDefault="0097425F" w:rsidP="008D01E4">
            <w:pPr>
              <w:shd w:val="clear" w:color="auto" w:fill="FFFFFF"/>
              <w:rPr>
                <w:rFonts w:eastAsia="Times New Roman" w:cstheme="minorHAnsi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sz w:val="16"/>
                <w:szCs w:val="16"/>
                <w:lang w:eastAsia="es-MX"/>
              </w:rPr>
              <w:t>Por rubro y total</w:t>
            </w:r>
          </w:p>
        </w:tc>
      </w:tr>
      <w:tr w:rsidR="0052080D" w:rsidRPr="00E45DC4" w:rsidTr="0052080D"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Cuestionarios de habilidades directivas y de supervisión</w:t>
            </w:r>
          </w:p>
        </w:tc>
        <w:tc>
          <w:tcPr>
            <w:tcW w:w="22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bookmarkStart w:id="0" w:name="_heading=h.gjdgxs" w:colFirst="0" w:colLast="0"/>
            <w:bookmarkEnd w:id="0"/>
            <w:r w:rsidRPr="0052080D">
              <w:rPr>
                <w:rFonts w:cstheme="minorHAnsi"/>
                <w:sz w:val="16"/>
                <w:szCs w:val="16"/>
              </w:rPr>
              <w:t>Se integran de un conjunto de reactivos orientados a obtener información sobre las creencias, actitudes o valoraciones que los sustentantes tienen sobre sus propias habilidades. Los reactivos podrán ser dicotómicos (con únicamente dos opciones de respuesta, mutuamente excluyentes, como Sí/No), o reactivos politómicos (con escalas de valoración).</w:t>
            </w: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tabs>
                <w:tab w:val="left" w:pos="176"/>
              </w:tabs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Promoción vertical.</w:t>
            </w:r>
          </w:p>
          <w:p w:rsidR="0052080D" w:rsidRPr="0052080D" w:rsidRDefault="0052080D" w:rsidP="008D01E4">
            <w:pPr>
              <w:pStyle w:val="Prrafodelista"/>
              <w:ind w:left="317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left w:val="single" w:sz="4" w:space="0" w:color="002060"/>
              <w:right w:val="nil"/>
            </w:tcBorders>
            <w:vAlign w:val="center"/>
          </w:tcPr>
          <w:p w:rsidR="0052080D" w:rsidRPr="0052080D" w:rsidRDefault="0052080D" w:rsidP="0052080D">
            <w:pPr>
              <w:pStyle w:val="Prrafodelista"/>
              <w:numPr>
                <w:ilvl w:val="0"/>
                <w:numId w:val="1"/>
              </w:numPr>
              <w:ind w:left="317" w:hanging="284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  <w:tcBorders>
              <w:left w:val="single" w:sz="4" w:space="0" w:color="002060"/>
              <w:right w:val="nil"/>
            </w:tcBorders>
          </w:tcPr>
          <w:p w:rsidR="0052080D" w:rsidRPr="0097425F" w:rsidRDefault="0097425F" w:rsidP="0097425F">
            <w:pPr>
              <w:ind w:left="33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Modelo de Respuesta Graduada</w:t>
            </w:r>
          </w:p>
        </w:tc>
        <w:tc>
          <w:tcPr>
            <w:tcW w:w="1417" w:type="dxa"/>
            <w:tcBorders>
              <w:left w:val="single" w:sz="4" w:space="0" w:color="002060"/>
              <w:right w:val="nil"/>
            </w:tcBorders>
          </w:tcPr>
          <w:p w:rsidR="0052080D" w:rsidRPr="0097425F" w:rsidRDefault="0097425F" w:rsidP="0097425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Por rubro y total</w:t>
            </w:r>
          </w:p>
        </w:tc>
      </w:tr>
      <w:tr w:rsidR="0052080D" w:rsidRPr="00E45DC4" w:rsidTr="0052080D"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Cuestionario de habilidades socioemocionales</w:t>
            </w:r>
          </w:p>
        </w:tc>
        <w:tc>
          <w:tcPr>
            <w:tcW w:w="22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 xml:space="preserve">Contiene 46 ítems que refieren a la percepción del sustentante respecto a la comprensión y manejo de las habilidades socioemocionales. Los ítems son polítómicos con una escala de valoración de cuatro niveles posibles, ante los cuales el sustentante debe elegir solo uno. </w:t>
            </w:r>
          </w:p>
          <w:p w:rsidR="0052080D" w:rsidRPr="0052080D" w:rsidRDefault="0052080D" w:rsidP="008D01E4">
            <w:pPr>
              <w:ind w:firstLine="7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Evaluación diagnóstica.</w:t>
            </w:r>
          </w:p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Promoción horizontal.</w:t>
            </w:r>
          </w:p>
        </w:tc>
        <w:tc>
          <w:tcPr>
            <w:tcW w:w="1559" w:type="dxa"/>
            <w:vMerge/>
            <w:tcBorders>
              <w:left w:val="single" w:sz="4" w:space="0" w:color="002060"/>
              <w:right w:val="nil"/>
            </w:tcBorders>
            <w:vAlign w:val="center"/>
          </w:tcPr>
          <w:p w:rsidR="0052080D" w:rsidRPr="0052080D" w:rsidRDefault="0052080D" w:rsidP="0052080D">
            <w:pPr>
              <w:pStyle w:val="Prrafodelista"/>
              <w:numPr>
                <w:ilvl w:val="0"/>
                <w:numId w:val="1"/>
              </w:numPr>
              <w:ind w:left="317" w:hanging="284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  <w:tcBorders>
              <w:left w:val="single" w:sz="4" w:space="0" w:color="002060"/>
              <w:right w:val="nil"/>
            </w:tcBorders>
          </w:tcPr>
          <w:p w:rsidR="0052080D" w:rsidRPr="0097425F" w:rsidRDefault="0097425F" w:rsidP="0097425F">
            <w:pPr>
              <w:ind w:left="33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Modelo de Respuesta Graduada</w:t>
            </w:r>
          </w:p>
        </w:tc>
        <w:tc>
          <w:tcPr>
            <w:tcW w:w="1417" w:type="dxa"/>
            <w:tcBorders>
              <w:left w:val="single" w:sz="4" w:space="0" w:color="002060"/>
              <w:right w:val="nil"/>
            </w:tcBorders>
          </w:tcPr>
          <w:p w:rsidR="0052080D" w:rsidRPr="0097425F" w:rsidRDefault="0097425F" w:rsidP="0097425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Por rubro y total</w:t>
            </w:r>
          </w:p>
        </w:tc>
      </w:tr>
      <w:tr w:rsidR="0052080D" w:rsidRPr="00E45DC4" w:rsidTr="0052080D"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Encuesta de percepción</w:t>
            </w:r>
          </w:p>
        </w:tc>
        <w:tc>
          <w:tcPr>
            <w:tcW w:w="22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 xml:space="preserve">Se integran por una batería de escalas aplicadas a informadores clave dentro del contexto educativo, con el fin de conocer la opinión o percepción que se tiene sobre el desempeño y dominio que el aspirante evaluado ha presentado en cuanto al manejo de los conocimientos, habilidades y actitudes identificados como esenciales para el ejercicio de su práctica. Consiste en una evaluación de 360 grados al considerar a los agentes inmersos en un </w:t>
            </w:r>
            <w:r w:rsidRPr="0052080D">
              <w:rPr>
                <w:rFonts w:cstheme="minorHAnsi"/>
                <w:sz w:val="16"/>
                <w:szCs w:val="16"/>
              </w:rPr>
              <w:lastRenderedPageBreak/>
              <w:t>contexto y que representan las interacciones más relevantes del sustentante en su entorno escolar. En este sentido, puede constituir una base para la retroalimentación, y por ende, contribuir a elevar la calidad y la mejora continua en el desempeño del ejercicio docente, las funciones directivas y de supervisión, como en el desempeño de los educandos</w:t>
            </w:r>
            <w:r w:rsidRPr="0052080D">
              <w:rPr>
                <w:rFonts w:cstheme="minorHAnsi"/>
                <w:sz w:val="16"/>
                <w:szCs w:val="16"/>
                <w:vertAlign w:val="superscript"/>
              </w:rPr>
              <w:footnoteReference w:id="1"/>
            </w:r>
            <w:r w:rsidRPr="0052080D"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lastRenderedPageBreak/>
              <w:t>Promoción vertical.</w:t>
            </w:r>
          </w:p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Evaluación diagnóstica.</w:t>
            </w:r>
          </w:p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52080D">
            <w:pPr>
              <w:pStyle w:val="Prrafodelista"/>
              <w:numPr>
                <w:ilvl w:val="0"/>
                <w:numId w:val="1"/>
              </w:numPr>
              <w:ind w:left="317" w:hanging="284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  <w:tcBorders>
              <w:left w:val="single" w:sz="4" w:space="0" w:color="002060"/>
              <w:bottom w:val="single" w:sz="4" w:space="0" w:color="002060"/>
              <w:right w:val="nil"/>
            </w:tcBorders>
          </w:tcPr>
          <w:p w:rsidR="0052080D" w:rsidRPr="0097425F" w:rsidRDefault="0097425F" w:rsidP="0097425F">
            <w:pPr>
              <w:ind w:left="33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Modelo de Respuesta Graduada</w:t>
            </w:r>
          </w:p>
        </w:tc>
        <w:tc>
          <w:tcPr>
            <w:tcW w:w="1417" w:type="dxa"/>
            <w:tcBorders>
              <w:left w:val="single" w:sz="4" w:space="0" w:color="002060"/>
              <w:bottom w:val="single" w:sz="4" w:space="0" w:color="002060"/>
              <w:right w:val="nil"/>
            </w:tcBorders>
          </w:tcPr>
          <w:p w:rsidR="0052080D" w:rsidRPr="0097425F" w:rsidRDefault="0097425F" w:rsidP="0097425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Por rubro y total</w:t>
            </w:r>
          </w:p>
        </w:tc>
      </w:tr>
      <w:tr w:rsidR="0052080D" w:rsidRPr="00E45DC4" w:rsidTr="0052080D"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 xml:space="preserve">Producto sobre el seguimiento del trabajo de los alumnos </w:t>
            </w:r>
          </w:p>
        </w:tc>
        <w:tc>
          <w:tcPr>
            <w:tcW w:w="22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Consiste en un instrumento de respuesta construida por parte del sustentante, que además representa una muestra de la práctica y de evidencia sobre el desempeño de los alumnos. Requiere dar cuenta de la reflexión, valoración e intervención del docente respecto de los resultados diferenciados en sus alumnos.</w:t>
            </w: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Promoción horizontal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eastAsia="Times New Roman" w:cstheme="minorHAnsi"/>
                <w:sz w:val="16"/>
                <w:szCs w:val="16"/>
                <w:lang w:eastAsia="es-MX"/>
              </w:rPr>
              <w:t>El sustentante elabora este producto en una sede mediante una plataforma en línea.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</w:tcPr>
          <w:p w:rsidR="0052080D" w:rsidRPr="0052080D" w:rsidRDefault="0097425F" w:rsidP="008D01E4">
            <w:pPr>
              <w:rPr>
                <w:rFonts w:eastAsia="Times New Roman" w:cstheme="minorHAnsi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sz w:val="16"/>
                <w:szCs w:val="16"/>
                <w:lang w:eastAsia="es-MX"/>
              </w:rPr>
              <w:t>Rúbrica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</w:tcPr>
          <w:p w:rsidR="0052080D" w:rsidRPr="0052080D" w:rsidRDefault="0097425F" w:rsidP="008D01E4">
            <w:pPr>
              <w:rPr>
                <w:rFonts w:eastAsia="Times New Roman" w:cstheme="minorHAnsi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sz w:val="16"/>
                <w:szCs w:val="16"/>
                <w:lang w:eastAsia="es-MX"/>
              </w:rPr>
              <w:t>Basada en la rúbrica, por rubro y total</w:t>
            </w:r>
          </w:p>
        </w:tc>
      </w:tr>
      <w:tr w:rsidR="0052080D" w:rsidRPr="00E45DC4" w:rsidTr="0052080D"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Entrevista estructurada</w:t>
            </w:r>
          </w:p>
        </w:tc>
        <w:tc>
          <w:tcPr>
            <w:tcW w:w="22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Implica la reunión del sustentante con un comité de revisión integrado por pares y actores clave para la obtención de información detallada y que refleje su análisis, reflexión y valoración de su propia práctica ante la evidencia que eligió como muestra del desempeño de sus alumnos y de los resultados de su intervención. Para la realización de las entrevistas se utilizará una guía con una serie de preguntas previamente definidas.</w:t>
            </w: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Promoción horizontal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In situ, en las instalaciones que designe la autoridad local.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</w:tcPr>
          <w:p w:rsidR="0052080D" w:rsidRPr="0052080D" w:rsidRDefault="0097425F" w:rsidP="008D01E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Subjetivo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</w:tcPr>
          <w:p w:rsidR="0052080D" w:rsidRPr="0052080D" w:rsidRDefault="0097425F" w:rsidP="008D01E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 coherente, Coherente, Destacado </w:t>
            </w:r>
          </w:p>
        </w:tc>
      </w:tr>
      <w:tr w:rsidR="0052080D" w:rsidRPr="00E45DC4" w:rsidTr="0052080D"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Observación de clase</w:t>
            </w:r>
          </w:p>
        </w:tc>
        <w:tc>
          <w:tcPr>
            <w:tcW w:w="22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Consiste en el registro objetivo de todo lo que ocurre al interior del aula, a fin de valorar con el apoyo de una rúbrica los diversos aspectos a considerar como parte del ejercicio de la práctica docente. Será realizada por pares externos a la escuela de procedencia del evaluado.</w:t>
            </w: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Promoción horizontal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In situ, en la escuela donde se desempeña el aspirante.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</w:tcPr>
          <w:p w:rsidR="0052080D" w:rsidRPr="0052080D" w:rsidRDefault="0097425F" w:rsidP="008D01E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Rúbrica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</w:tcPr>
          <w:p w:rsidR="0052080D" w:rsidRPr="0052080D" w:rsidRDefault="0097425F" w:rsidP="008D01E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  <w:lang w:eastAsia="es-MX"/>
              </w:rPr>
              <w:t>Basada en la rúbrica, por rubro y total</w:t>
            </w:r>
          </w:p>
        </w:tc>
      </w:tr>
      <w:tr w:rsidR="0052080D" w:rsidRPr="00E45DC4" w:rsidTr="0052080D">
        <w:tc>
          <w:tcPr>
            <w:tcW w:w="1276" w:type="dxa"/>
            <w:tcBorders>
              <w:top w:val="single" w:sz="4" w:space="0" w:color="002060"/>
              <w:left w:val="nil"/>
              <w:bottom w:val="nil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>Certificación de competencias</w:t>
            </w:r>
          </w:p>
        </w:tc>
        <w:tc>
          <w:tcPr>
            <w:tcW w:w="2268" w:type="dxa"/>
            <w:tcBorders>
              <w:top w:val="single" w:sz="4" w:space="0" w:color="002060"/>
              <w:left w:val="single" w:sz="4" w:space="0" w:color="002060"/>
              <w:bottom w:val="nil"/>
              <w:right w:val="single" w:sz="4" w:space="0" w:color="002060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 xml:space="preserve">Consiste en el establecimiento de las competencias profesionales correspondientes a la función de Tutor, AT y ATP a partir de los perfiles profesionales que serán el referente para la evaluación y certificación del personal que aspire al reconocimiento. </w:t>
            </w:r>
          </w:p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lastRenderedPageBreak/>
              <w:t xml:space="preserve">Estas competencias y los resultados de evaluación en los aspirantes también pueden ser referente para el desarrollo de programas de formación, capacitación y actualización. </w:t>
            </w:r>
          </w:p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t xml:space="preserve">Se realizará mediante una instancia certificadora con la que la Unidad establezca los comités para la definición de las competencias y criterios y mecanismos de evaluación y certificación. Quien cumple con las competencias establecidas se certifica como Tutor, AT o ATP por un tiempo determinado.   </w:t>
            </w: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nil"/>
              <w:right w:val="nil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r w:rsidRPr="0052080D">
              <w:rPr>
                <w:rFonts w:cstheme="minorHAnsi"/>
                <w:sz w:val="16"/>
                <w:szCs w:val="16"/>
              </w:rPr>
              <w:lastRenderedPageBreak/>
              <w:t>Reconocimiento Tutor, AT y ATP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nil"/>
              <w:right w:val="nil"/>
            </w:tcBorders>
            <w:vAlign w:val="center"/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nil"/>
              <w:right w:val="nil"/>
            </w:tcBorders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nil"/>
              <w:right w:val="nil"/>
            </w:tcBorders>
          </w:tcPr>
          <w:p w:rsidR="0052080D" w:rsidRPr="0052080D" w:rsidRDefault="0052080D" w:rsidP="008D01E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52080D" w:rsidRDefault="0052080D" w:rsidP="0052080D">
      <w:pPr>
        <w:tabs>
          <w:tab w:val="left" w:pos="1560"/>
        </w:tabs>
        <w:spacing w:after="0"/>
        <w:rPr>
          <w:rFonts w:ascii="Calibri" w:eastAsia="Times New Roman" w:hAnsi="Calibri" w:cs="Calibri"/>
          <w:color w:val="002060"/>
        </w:rPr>
      </w:pPr>
    </w:p>
    <w:p w:rsidR="00365893" w:rsidRDefault="00365893"/>
    <w:sectPr w:rsidR="00365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87A" w:rsidRDefault="00F3287A" w:rsidP="0052080D">
      <w:pPr>
        <w:spacing w:after="0" w:line="240" w:lineRule="auto"/>
      </w:pPr>
      <w:r>
        <w:separator/>
      </w:r>
    </w:p>
  </w:endnote>
  <w:endnote w:type="continuationSeparator" w:id="0">
    <w:p w:rsidR="00F3287A" w:rsidRDefault="00F3287A" w:rsidP="0052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87A" w:rsidRDefault="00F3287A" w:rsidP="0052080D">
      <w:pPr>
        <w:spacing w:after="0" w:line="240" w:lineRule="auto"/>
      </w:pPr>
      <w:r>
        <w:separator/>
      </w:r>
    </w:p>
  </w:footnote>
  <w:footnote w:type="continuationSeparator" w:id="0">
    <w:p w:rsidR="00F3287A" w:rsidRDefault="00F3287A" w:rsidP="0052080D">
      <w:pPr>
        <w:spacing w:after="0" w:line="240" w:lineRule="auto"/>
      </w:pPr>
      <w:r>
        <w:continuationSeparator/>
      </w:r>
    </w:p>
  </w:footnote>
  <w:footnote w:id="1">
    <w:p w:rsidR="0052080D" w:rsidRDefault="0052080D" w:rsidP="0052080D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Galán, Y., González, M., Hernández, J. (2010) Modelo 360° para la evaluación por competencias (enseñanza-aprendizaje). </w:t>
      </w:r>
      <w:r>
        <w:rPr>
          <w:i/>
          <w:sz w:val="20"/>
          <w:szCs w:val="20"/>
        </w:rPr>
        <w:t xml:space="preserve">Innovación Educativa, 10 (53), pp. 43-53. </w:t>
      </w:r>
    </w:p>
    <w:p w:rsidR="0052080D" w:rsidRDefault="0052080D" w:rsidP="005208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12CB"/>
    <w:multiLevelType w:val="hybridMultilevel"/>
    <w:tmpl w:val="4C801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80D"/>
    <w:rsid w:val="00365893"/>
    <w:rsid w:val="0052080D"/>
    <w:rsid w:val="007B0F8B"/>
    <w:rsid w:val="0097425F"/>
    <w:rsid w:val="00F3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5857"/>
  <w15:chartTrackingRefBased/>
  <w15:docId w15:val="{7099AE72-EF2F-4C2B-A504-D3D0896E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8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8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20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841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Guevara</dc:creator>
  <cp:keywords/>
  <dc:description/>
  <cp:lastModifiedBy>Rubio Ruiz, Eleonora</cp:lastModifiedBy>
  <cp:revision>2</cp:revision>
  <dcterms:created xsi:type="dcterms:W3CDTF">2019-11-12T16:28:00Z</dcterms:created>
  <dcterms:modified xsi:type="dcterms:W3CDTF">2019-11-12T16:44:00Z</dcterms:modified>
</cp:coreProperties>
</file>