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Referentes revisados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Council of Chief State School Officers. (2015). Model principal supervisor professional standards 2015.</w:t>
      </w:r>
    </w:p>
    <w:p w:rsidR="00000000" w:rsidDel="00000000" w:rsidP="00000000" w:rsidRDefault="00000000" w:rsidRPr="00000000" w14:paraId="00000004">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Goldring, E. B., Grissom, J. A., Rubin, M., Rogers, L. K., Neel, M., &amp; Clark, M. A. (2018). A New Role Emerges for Principal Supervisors: Evidence from Six Districts in the Principal Supervisor Initiative. </w:t>
      </w:r>
      <w:r w:rsidDel="00000000" w:rsidR="00000000" w:rsidRPr="00000000">
        <w:rPr>
          <w:i w:val="1"/>
          <w:color w:val="222222"/>
          <w:sz w:val="20"/>
          <w:szCs w:val="20"/>
          <w:highlight w:val="white"/>
          <w:rtl w:val="0"/>
        </w:rPr>
        <w:t xml:space="preserve">Mathematica Policy Research, Inc.</w:t>
      </w:r>
    </w:p>
    <w:p w:rsidR="00000000" w:rsidDel="00000000" w:rsidP="00000000" w:rsidRDefault="00000000" w:rsidRPr="00000000" w14:paraId="00000005">
      <w:pPr>
        <w:rPr>
          <w:i w:val="1"/>
          <w:color w:val="222222"/>
          <w:sz w:val="20"/>
          <w:szCs w:val="20"/>
          <w:highlight w:val="white"/>
        </w:rPr>
      </w:pPr>
      <w:r w:rsidDel="00000000" w:rsidR="00000000" w:rsidRPr="00000000">
        <w:rPr>
          <w:rtl w:val="0"/>
        </w:rPr>
      </w:r>
    </w:p>
    <w:p w:rsidR="00000000" w:rsidDel="00000000" w:rsidP="00000000" w:rsidRDefault="00000000" w:rsidRPr="00000000" w14:paraId="00000006">
      <w:pPr>
        <w:rPr>
          <w:i w:val="1"/>
          <w:color w:val="222222"/>
          <w:sz w:val="20"/>
          <w:szCs w:val="20"/>
          <w:highlight w:val="white"/>
        </w:rPr>
      </w:pPr>
      <w:r w:rsidDel="00000000" w:rsidR="00000000" w:rsidRPr="00000000">
        <w:rPr>
          <w:rtl w:val="0"/>
        </w:rPr>
      </w:r>
    </w:p>
    <w:p w:rsidR="00000000" w:rsidDel="00000000" w:rsidP="00000000" w:rsidRDefault="00000000" w:rsidRPr="00000000" w14:paraId="00000007">
      <w:pPr>
        <w:rPr>
          <w:color w:val="222222"/>
          <w:sz w:val="20"/>
          <w:szCs w:val="20"/>
          <w:highlight w:val="white"/>
        </w:rPr>
      </w:pPr>
      <w:r w:rsidDel="00000000" w:rsidR="00000000" w:rsidRPr="00000000">
        <w:rPr>
          <w:color w:val="222222"/>
          <w:sz w:val="20"/>
          <w:szCs w:val="20"/>
          <w:highlight w:val="white"/>
          <w:rtl w:val="0"/>
        </w:rPr>
        <w:t xml:space="preserve">De acuerdo con el Modelo de estándares profesionales para supervisores, se destacan las siguientes directrices:</w:t>
      </w:r>
    </w:p>
    <w:p w:rsidR="00000000" w:rsidDel="00000000" w:rsidP="00000000" w:rsidRDefault="00000000" w:rsidRPr="00000000" w14:paraId="00000008">
      <w:pPr>
        <w:rPr>
          <w:color w:val="222222"/>
          <w:sz w:val="20"/>
          <w:szCs w:val="20"/>
          <w:highlight w:val="white"/>
        </w:rPr>
      </w:pPr>
      <w:r w:rsidDel="00000000" w:rsidR="00000000" w:rsidRPr="00000000">
        <w:rPr>
          <w:rtl w:val="0"/>
        </w:rPr>
      </w:r>
    </w:p>
    <w:p w:rsidR="00000000" w:rsidDel="00000000" w:rsidP="00000000" w:rsidRDefault="00000000" w:rsidRPr="00000000" w14:paraId="00000009">
      <w:pPr>
        <w:rPr>
          <w:color w:val="222222"/>
          <w:sz w:val="20"/>
          <w:szCs w:val="20"/>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20"/>
                <w:szCs w:val="20"/>
                <w:highlight w:val="white"/>
              </w:rPr>
            </w:pPr>
            <w:r w:rsidDel="00000000" w:rsidR="00000000" w:rsidRPr="00000000">
              <w:rPr>
                <w:b w:val="1"/>
                <w:color w:val="222222"/>
                <w:sz w:val="20"/>
                <w:szCs w:val="20"/>
                <w:highlight w:val="white"/>
                <w:rtl w:val="0"/>
              </w:rPr>
              <w:t xml:space="preserve">Categoría 1: Trabajo orientado al liderazgo educativo.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20"/>
                <w:szCs w:val="20"/>
                <w:highlight w:val="whit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20"/>
                <w:szCs w:val="20"/>
                <w:highlight w:val="white"/>
              </w:rPr>
            </w:pPr>
            <w:r w:rsidDel="00000000" w:rsidR="00000000" w:rsidRPr="00000000">
              <w:rPr>
                <w:b w:val="1"/>
                <w:color w:val="222222"/>
                <w:sz w:val="20"/>
                <w:szCs w:val="20"/>
                <w:highlight w:val="white"/>
                <w:rtl w:val="0"/>
              </w:rPr>
              <w:t xml:space="preserve">El rol principal del supervisor es brindar apoyo a los directores para que desarrollen al máximo su liderazgo instruccional.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1.-  Los supervisores dedican su tiempo a ayudar a los directores a crecer como líderes instruccionales.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2.-  Los supervisores guían y brindan apoyos individuales a cada uno de  los directores de las escuelas a su cargo, comprometiéndose a desarrollar de estrategias de aprendizaje profesional efectivas para ayudarlos a crecer como líderes instruccionales..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3.- Los supervisores usan la evidencia recopilada acerca de la eficiencia de los directores para identificar áreas de mejora en su práctica, con el fin de promover un ambiente educativo positivo que tome en consideración la diversidad cultural y de necesidades de aprendizaje en los estudiantes.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4.- Los supervisores involucran a los directores en procesos de evaluación del personal con funciones de dirección en la zona escolar, de manera que se pueda trabajar en la mejora contínua de sus quehaceres como líderes instruccionales.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Categoría 2: Procurar la eficiencia de la labor educativa en la zona escolar.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Se espera que el supervisor coordine la relación entre cada uno de los planteles que conforman la zona escolar y un organismo central. La labor principal del supervisor consiste en difundir el desarrollo de políticas y protocolos diseñados para garantizar eficiencia y eficacia en el funcionamiento de las escuelas.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5.- Los supervisores promueven y difunden una visión organizacional coherente, con políticas y estrategias diseñadas para apoyar a las escuelas y al aprendizaje de los alumnos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6.- Los supervisores atienden a las necesidades de la zona escolar, promoviendo que las escuelas a su cargo tengan un acceso justo e igualitario a los recursos necesarios para garantizar el éxito educativo de cada estudiante, siendo sensibles y respondiendo a las necesidades planteadas por el contexto social y cultural de los mismos..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Categoría 3: Acciones para la mejora contínua de las capacidades y la eficiencia  general del  propio suervisor como líder de la zona escolar.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7.- Los supervisores escolares se comprometen con su propio desarrollo y la mejora continua de su capacidad para promover el crecimiento de los directores como líderes instruccionales.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8.- Los supervisores desarrollan y coordinan cambios estratégicos que continuamente promueven la mejora de la labor educativa realizada en las escuelas, manteniendo programas de alta calidad y oportunidades de desarrollo en toda la zona escolar.</w:t>
            </w:r>
          </w:p>
        </w:tc>
      </w:tr>
    </w:tbl>
    <w:p w:rsidR="00000000" w:rsidDel="00000000" w:rsidP="00000000" w:rsidRDefault="00000000" w:rsidRPr="00000000" w14:paraId="00000019">
      <w:pPr>
        <w:rPr>
          <w:color w:val="222222"/>
          <w:sz w:val="20"/>
          <w:szCs w:val="20"/>
          <w:highlight w:val="white"/>
        </w:rPr>
      </w:pPr>
      <w:r w:rsidDel="00000000" w:rsidR="00000000" w:rsidRPr="00000000">
        <w:rPr>
          <w:rtl w:val="0"/>
        </w:rPr>
      </w:r>
    </w:p>
    <w:p w:rsidR="00000000" w:rsidDel="00000000" w:rsidP="00000000" w:rsidRDefault="00000000" w:rsidRPr="00000000" w14:paraId="0000001A">
      <w:pPr>
        <w:rPr>
          <w:color w:val="222222"/>
          <w:sz w:val="20"/>
          <w:szCs w:val="20"/>
          <w:highlight w:val="white"/>
        </w:rPr>
      </w:pPr>
      <w:r w:rsidDel="00000000" w:rsidR="00000000" w:rsidRPr="00000000">
        <w:rPr>
          <w:color w:val="222222"/>
          <w:sz w:val="20"/>
          <w:szCs w:val="20"/>
          <w:highlight w:val="white"/>
          <w:rtl w:val="0"/>
        </w:rPr>
        <w:t xml:space="preserve">Dentro de las cualidades que se consideran ideales para ejercer la función de supervisor, se enumeran:</w:t>
      </w:r>
    </w:p>
    <w:p w:rsidR="00000000" w:rsidDel="00000000" w:rsidP="00000000" w:rsidRDefault="00000000" w:rsidRPr="00000000" w14:paraId="0000001B">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Reflexivo</w:t>
      </w:r>
    </w:p>
    <w:p w:rsidR="00000000" w:rsidDel="00000000" w:rsidP="00000000" w:rsidRDefault="00000000" w:rsidRPr="00000000" w14:paraId="0000001C">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Perseverante</w:t>
      </w:r>
    </w:p>
    <w:p w:rsidR="00000000" w:rsidDel="00000000" w:rsidP="00000000" w:rsidRDefault="00000000" w:rsidRPr="00000000" w14:paraId="0000001D">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Ético</w:t>
      </w:r>
    </w:p>
    <w:p w:rsidR="00000000" w:rsidDel="00000000" w:rsidP="00000000" w:rsidRDefault="00000000" w:rsidRPr="00000000" w14:paraId="0000001E">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Analítico</w:t>
      </w:r>
    </w:p>
    <w:p w:rsidR="00000000" w:rsidDel="00000000" w:rsidP="00000000" w:rsidRDefault="00000000" w:rsidRPr="00000000" w14:paraId="0000001F">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Innovador</w:t>
      </w:r>
    </w:p>
    <w:p w:rsidR="00000000" w:rsidDel="00000000" w:rsidP="00000000" w:rsidRDefault="00000000" w:rsidRPr="00000000" w14:paraId="00000020">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Orientado a la colaboración</w:t>
      </w:r>
    </w:p>
    <w:p w:rsidR="00000000" w:rsidDel="00000000" w:rsidP="00000000" w:rsidRDefault="00000000" w:rsidRPr="00000000" w14:paraId="00000021">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Abierto al crecimiento constante.</w:t>
      </w:r>
    </w:p>
    <w:p w:rsidR="00000000" w:rsidDel="00000000" w:rsidP="00000000" w:rsidRDefault="00000000" w:rsidRPr="00000000" w14:paraId="00000022">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Sistemático</w:t>
      </w:r>
    </w:p>
    <w:p w:rsidR="00000000" w:rsidDel="00000000" w:rsidP="00000000" w:rsidRDefault="00000000" w:rsidRPr="00000000" w14:paraId="00000023">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Equitativo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