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0B" w:rsidRPr="00494E2C" w:rsidRDefault="00E66D0B" w:rsidP="00BA25FF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b/>
          <w:smallCaps/>
        </w:rPr>
      </w:pPr>
      <w:r w:rsidRPr="00494E2C">
        <w:rPr>
          <w:rFonts w:ascii="Arial" w:hAnsi="Arial" w:cs="Arial"/>
          <w:b/>
          <w:smallCaps/>
        </w:rPr>
        <w:t>Generalidades</w:t>
      </w:r>
    </w:p>
    <w:p w:rsidR="004C7367" w:rsidRDefault="007A10A0" w:rsidP="004C7367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La Universidad Nacional Autónoma de México (UNAM</w:t>
      </w:r>
      <w:r w:rsidR="009036EF" w:rsidRPr="00F84CD3">
        <w:rPr>
          <w:rFonts w:ascii="Arial" w:hAnsi="Arial" w:cs="Arial"/>
        </w:rPr>
        <w:t>) tiene la responsabi</w:t>
      </w:r>
      <w:r>
        <w:rPr>
          <w:rFonts w:ascii="Arial" w:hAnsi="Arial" w:cs="Arial"/>
        </w:rPr>
        <w:t>lidad de realizar</w:t>
      </w:r>
      <w:r w:rsidR="00891298">
        <w:rPr>
          <w:rFonts w:ascii="Arial" w:hAnsi="Arial" w:cs="Arial"/>
        </w:rPr>
        <w:t xml:space="preserve"> </w:t>
      </w:r>
      <w:r w:rsidR="004C7367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aplicación a docentes, se llevará a cabo en 4 fines de semana en el periodo que comprende del 15 de mayo al 15 de junio de 2020………………………………………………</w:t>
      </w:r>
    </w:p>
    <w:p w:rsidR="00E66D0B" w:rsidRPr="00494E2C" w:rsidRDefault="00E66D0B" w:rsidP="004C7367">
      <w:pPr>
        <w:spacing w:after="120"/>
        <w:jc w:val="both"/>
        <w:rPr>
          <w:rFonts w:ascii="Arial" w:hAnsi="Arial" w:cs="Arial"/>
          <w:b/>
          <w:smallCaps/>
        </w:rPr>
      </w:pPr>
      <w:r w:rsidRPr="00494E2C">
        <w:rPr>
          <w:rFonts w:ascii="Arial" w:hAnsi="Arial" w:cs="Arial"/>
          <w:b/>
          <w:smallCaps/>
        </w:rPr>
        <w:t>Propósito</w:t>
      </w:r>
    </w:p>
    <w:p w:rsidR="00CE2CC5" w:rsidRPr="00494E2C" w:rsidRDefault="00E66D0B" w:rsidP="003636AA">
      <w:pPr>
        <w:jc w:val="both"/>
        <w:rPr>
          <w:rFonts w:ascii="Arial" w:hAnsi="Arial" w:cs="Arial"/>
        </w:rPr>
      </w:pPr>
      <w:r w:rsidRPr="00494E2C">
        <w:rPr>
          <w:rFonts w:ascii="Arial" w:hAnsi="Arial" w:cs="Arial"/>
        </w:rPr>
        <w:t>D</w:t>
      </w:r>
      <w:r w:rsidR="00CE2CC5" w:rsidRPr="00494E2C">
        <w:rPr>
          <w:rFonts w:ascii="Arial" w:hAnsi="Arial" w:cs="Arial"/>
        </w:rPr>
        <w:t xml:space="preserve">efinir los </w:t>
      </w:r>
      <w:r w:rsidR="00087706" w:rsidRPr="00494E2C">
        <w:rPr>
          <w:rFonts w:ascii="Arial" w:hAnsi="Arial" w:cs="Arial"/>
        </w:rPr>
        <w:t>e</w:t>
      </w:r>
      <w:r w:rsidR="003636AA" w:rsidRPr="00494E2C">
        <w:rPr>
          <w:rFonts w:ascii="Arial" w:hAnsi="Arial" w:cs="Arial"/>
        </w:rPr>
        <w:t xml:space="preserve">lementos para </w:t>
      </w:r>
      <w:r w:rsidR="002414C4">
        <w:rPr>
          <w:rFonts w:ascii="Arial" w:hAnsi="Arial" w:cs="Arial"/>
        </w:rPr>
        <w:t xml:space="preserve">que los </w:t>
      </w:r>
      <w:r w:rsidR="007A10A0">
        <w:rPr>
          <w:rFonts w:ascii="Arial" w:hAnsi="Arial" w:cs="Arial"/>
        </w:rPr>
        <w:t>Coordinadores Estatales</w:t>
      </w:r>
      <w:r w:rsidR="004E5B55">
        <w:rPr>
          <w:rFonts w:ascii="Arial" w:hAnsi="Arial" w:cs="Arial"/>
        </w:rPr>
        <w:t xml:space="preserve"> </w:t>
      </w:r>
      <w:r w:rsidR="003636AA" w:rsidRPr="00494E2C">
        <w:rPr>
          <w:rFonts w:ascii="Arial" w:hAnsi="Arial" w:cs="Arial"/>
        </w:rPr>
        <w:t>cuantifi</w:t>
      </w:r>
      <w:r w:rsidR="00924C4B" w:rsidRPr="00494E2C">
        <w:rPr>
          <w:rFonts w:ascii="Arial" w:hAnsi="Arial" w:cs="Arial"/>
        </w:rPr>
        <w:t>quen</w:t>
      </w:r>
      <w:r w:rsidR="003636AA" w:rsidRPr="00494E2C">
        <w:rPr>
          <w:rFonts w:ascii="Arial" w:hAnsi="Arial" w:cs="Arial"/>
        </w:rPr>
        <w:t xml:space="preserve"> los requerimientos </w:t>
      </w:r>
      <w:r w:rsidR="00284A09" w:rsidRPr="00494E2C">
        <w:rPr>
          <w:rFonts w:ascii="Arial" w:hAnsi="Arial" w:cs="Arial"/>
        </w:rPr>
        <w:t>de apoyo</w:t>
      </w:r>
      <w:r w:rsidR="009A5F9D" w:rsidRPr="00494E2C">
        <w:rPr>
          <w:rFonts w:ascii="Arial" w:hAnsi="Arial" w:cs="Arial"/>
        </w:rPr>
        <w:t xml:space="preserve"> para los voluntarios participantes en la</w:t>
      </w:r>
      <w:r w:rsidR="007A10A0">
        <w:rPr>
          <w:rFonts w:ascii="Arial" w:hAnsi="Arial" w:cs="Arial"/>
        </w:rPr>
        <w:t xml:space="preserve"> aplicación docente</w:t>
      </w:r>
      <w:r w:rsidR="003636AA" w:rsidRPr="00494E2C">
        <w:rPr>
          <w:rFonts w:ascii="Arial" w:hAnsi="Arial" w:cs="Arial"/>
        </w:rPr>
        <w:t>.</w:t>
      </w:r>
    </w:p>
    <w:p w:rsidR="00E66D0B" w:rsidRPr="00494E2C" w:rsidRDefault="00284A09" w:rsidP="00BA25FF">
      <w:pPr>
        <w:pStyle w:val="Prrafodelista"/>
        <w:numPr>
          <w:ilvl w:val="0"/>
          <w:numId w:val="28"/>
        </w:numPr>
        <w:ind w:left="426"/>
        <w:jc w:val="both"/>
        <w:rPr>
          <w:rFonts w:ascii="Arial" w:hAnsi="Arial" w:cs="Arial"/>
          <w:b/>
          <w:smallCaps/>
        </w:rPr>
      </w:pPr>
      <w:r w:rsidRPr="00494E2C">
        <w:rPr>
          <w:rFonts w:ascii="Arial" w:hAnsi="Arial" w:cs="Arial"/>
          <w:b/>
          <w:smallCaps/>
        </w:rPr>
        <w:t>Participantes s</w:t>
      </w:r>
      <w:r w:rsidR="00E66D0B" w:rsidRPr="00494E2C">
        <w:rPr>
          <w:rFonts w:ascii="Arial" w:hAnsi="Arial" w:cs="Arial"/>
          <w:b/>
          <w:smallCaps/>
        </w:rPr>
        <w:t xml:space="preserve">ujetos </w:t>
      </w:r>
      <w:r w:rsidRPr="00494E2C">
        <w:rPr>
          <w:rFonts w:ascii="Arial" w:hAnsi="Arial" w:cs="Arial"/>
          <w:b/>
          <w:smallCaps/>
        </w:rPr>
        <w:t>de</w:t>
      </w:r>
      <w:r w:rsidR="00E66D0B" w:rsidRPr="00494E2C">
        <w:rPr>
          <w:rFonts w:ascii="Arial" w:hAnsi="Arial" w:cs="Arial"/>
          <w:b/>
          <w:smallCaps/>
        </w:rPr>
        <w:t xml:space="preserve"> apoyo</w:t>
      </w:r>
    </w:p>
    <w:p w:rsidR="00B2337B" w:rsidRPr="00494E2C" w:rsidRDefault="00B2337B" w:rsidP="00B23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aplicación </w:t>
      </w:r>
      <w:r w:rsidR="0079428E">
        <w:rPr>
          <w:rFonts w:ascii="Arial" w:hAnsi="Arial" w:cs="Arial"/>
        </w:rPr>
        <w:t xml:space="preserve">deberán </w:t>
      </w:r>
      <w:r w:rsidRPr="00494E2C">
        <w:rPr>
          <w:rFonts w:ascii="Arial" w:hAnsi="Arial" w:cs="Arial"/>
        </w:rPr>
        <w:t>participa</w:t>
      </w:r>
      <w:r w:rsidR="0079428E">
        <w:rPr>
          <w:rFonts w:ascii="Arial" w:hAnsi="Arial" w:cs="Arial"/>
        </w:rPr>
        <w:t>r</w:t>
      </w:r>
      <w:r w:rsidRPr="00494E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494E2C">
        <w:rPr>
          <w:rFonts w:ascii="Arial" w:hAnsi="Arial" w:cs="Arial"/>
        </w:rPr>
        <w:t>plicadores</w:t>
      </w:r>
      <w:r>
        <w:rPr>
          <w:rFonts w:ascii="Arial" w:hAnsi="Arial" w:cs="Arial"/>
        </w:rPr>
        <w:t xml:space="preserve"> voluntarios externos preferentemente</w:t>
      </w:r>
      <w:r w:rsidRPr="00494E2C">
        <w:rPr>
          <w:rFonts w:ascii="Arial" w:hAnsi="Arial" w:cs="Arial"/>
        </w:rPr>
        <w:t>.</w:t>
      </w:r>
    </w:p>
    <w:p w:rsidR="006141C5" w:rsidRDefault="006141C5" w:rsidP="006141C5">
      <w:pPr>
        <w:jc w:val="both"/>
        <w:rPr>
          <w:rFonts w:ascii="Arial" w:hAnsi="Arial" w:cs="Arial"/>
        </w:rPr>
      </w:pPr>
      <w:r w:rsidRPr="00494E2C">
        <w:rPr>
          <w:rFonts w:ascii="Arial" w:hAnsi="Arial" w:cs="Arial"/>
        </w:rPr>
        <w:t>Se consideran participantes voluntarios</w:t>
      </w:r>
      <w:r>
        <w:rPr>
          <w:rFonts w:ascii="Arial" w:hAnsi="Arial" w:cs="Arial"/>
        </w:rPr>
        <w:t xml:space="preserve"> externos a las personas que no cuenten con una plaza presupuestal en cualquier orden del gobierno federal, estatal o municipal. Los participantes voluntarios</w:t>
      </w:r>
      <w:r w:rsidRPr="00494E2C">
        <w:rPr>
          <w:rFonts w:ascii="Arial" w:hAnsi="Arial" w:cs="Arial"/>
        </w:rPr>
        <w:t xml:space="preserve"> </w:t>
      </w:r>
      <w:r w:rsidRPr="001C1891">
        <w:rPr>
          <w:rFonts w:ascii="Arial" w:hAnsi="Arial" w:cs="Arial"/>
        </w:rPr>
        <w:t>internos</w:t>
      </w:r>
      <w:r w:rsidRPr="00494E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sí cuentan con una de estas plazas,</w:t>
      </w:r>
      <w:r w:rsidRPr="00494E2C">
        <w:rPr>
          <w:rFonts w:ascii="Arial" w:hAnsi="Arial" w:cs="Arial"/>
        </w:rPr>
        <w:t xml:space="preserve"> por lo que la normatividad aplicable</w:t>
      </w:r>
      <w:r>
        <w:rPr>
          <w:rFonts w:ascii="Arial" w:hAnsi="Arial" w:cs="Arial"/>
        </w:rPr>
        <w:t>,</w:t>
      </w:r>
      <w:r w:rsidRPr="00494E2C">
        <w:rPr>
          <w:rFonts w:ascii="Arial" w:hAnsi="Arial" w:cs="Arial"/>
        </w:rPr>
        <w:t xml:space="preserve"> en cuanto a la compatibilidad de empleo no permite otorgar apoyo económico </w:t>
      </w:r>
      <w:r w:rsidR="0079428E">
        <w:rPr>
          <w:rFonts w:ascii="Arial" w:hAnsi="Arial" w:cs="Arial"/>
        </w:rPr>
        <w:t>a estos participantes</w:t>
      </w:r>
      <w:r w:rsidRPr="00494E2C">
        <w:rPr>
          <w:rFonts w:ascii="Arial" w:hAnsi="Arial" w:cs="Arial"/>
        </w:rPr>
        <w:t>; únicamente se</w:t>
      </w:r>
      <w:r w:rsidR="0079428E">
        <w:rPr>
          <w:rFonts w:ascii="Arial" w:hAnsi="Arial" w:cs="Arial"/>
        </w:rPr>
        <w:t xml:space="preserve"> les</w:t>
      </w:r>
      <w:r w:rsidRPr="00494E2C">
        <w:rPr>
          <w:rFonts w:ascii="Arial" w:hAnsi="Arial" w:cs="Arial"/>
        </w:rPr>
        <w:t xml:space="preserve"> considerará “Traslados” y “Pernoctas</w:t>
      </w:r>
      <w:r w:rsidR="0079428E">
        <w:rPr>
          <w:rFonts w:ascii="Arial" w:hAnsi="Arial" w:cs="Arial"/>
        </w:rPr>
        <w:t>, en su caso</w:t>
      </w:r>
      <w:r w:rsidRPr="00494E2C">
        <w:rPr>
          <w:rFonts w:ascii="Arial" w:hAnsi="Arial" w:cs="Arial"/>
        </w:rPr>
        <w:t xml:space="preserve">”. </w:t>
      </w:r>
    </w:p>
    <w:p w:rsidR="00E66D0B" w:rsidRPr="00494E2C" w:rsidRDefault="00E66D0B" w:rsidP="00586315">
      <w:pPr>
        <w:jc w:val="both"/>
        <w:rPr>
          <w:rFonts w:ascii="Arial" w:hAnsi="Arial" w:cs="Arial"/>
          <w:b/>
          <w:smallCaps/>
        </w:rPr>
      </w:pPr>
      <w:r w:rsidRPr="00494E2C">
        <w:rPr>
          <w:rFonts w:ascii="Arial" w:hAnsi="Arial" w:cs="Arial"/>
          <w:b/>
          <w:smallCaps/>
        </w:rPr>
        <w:t>Tipos de apoyo</w:t>
      </w:r>
    </w:p>
    <w:p w:rsidR="00E66D0B" w:rsidRPr="00494E2C" w:rsidRDefault="00E66D0B" w:rsidP="00E66D0B">
      <w:pPr>
        <w:jc w:val="both"/>
        <w:rPr>
          <w:rFonts w:ascii="Arial" w:hAnsi="Arial" w:cs="Arial"/>
        </w:rPr>
      </w:pPr>
      <w:r w:rsidRPr="00494E2C">
        <w:rPr>
          <w:rFonts w:ascii="Arial" w:hAnsi="Arial" w:cs="Arial"/>
        </w:rPr>
        <w:t>Los conceptos a considerar son “Apoyo Económico”, “</w:t>
      </w:r>
      <w:r w:rsidR="00242E3A" w:rsidRPr="00494E2C">
        <w:rPr>
          <w:rFonts w:ascii="Arial" w:hAnsi="Arial" w:cs="Arial"/>
        </w:rPr>
        <w:t xml:space="preserve">Apoyo para </w:t>
      </w:r>
      <w:r w:rsidRPr="00494E2C">
        <w:rPr>
          <w:rFonts w:ascii="Arial" w:hAnsi="Arial" w:cs="Arial"/>
        </w:rPr>
        <w:t>Traslados”</w:t>
      </w:r>
      <w:r w:rsidR="00067B96" w:rsidRPr="00494E2C">
        <w:rPr>
          <w:rFonts w:ascii="Arial" w:hAnsi="Arial" w:cs="Arial"/>
        </w:rPr>
        <w:t>,</w:t>
      </w:r>
      <w:r w:rsidRPr="00494E2C">
        <w:rPr>
          <w:rFonts w:ascii="Arial" w:hAnsi="Arial" w:cs="Arial"/>
        </w:rPr>
        <w:t xml:space="preserve"> </w:t>
      </w:r>
      <w:r w:rsidR="001375E8" w:rsidRPr="00494E2C">
        <w:rPr>
          <w:rFonts w:ascii="Arial" w:hAnsi="Arial" w:cs="Arial"/>
        </w:rPr>
        <w:t xml:space="preserve">y </w:t>
      </w:r>
      <w:r w:rsidRPr="00494E2C">
        <w:rPr>
          <w:rFonts w:ascii="Arial" w:hAnsi="Arial" w:cs="Arial"/>
        </w:rPr>
        <w:t>“</w:t>
      </w:r>
      <w:r w:rsidR="00242E3A" w:rsidRPr="00494E2C">
        <w:rPr>
          <w:rFonts w:ascii="Arial" w:hAnsi="Arial" w:cs="Arial"/>
        </w:rPr>
        <w:t xml:space="preserve">Apoyo para </w:t>
      </w:r>
      <w:r w:rsidRPr="00494E2C">
        <w:rPr>
          <w:rFonts w:ascii="Arial" w:hAnsi="Arial" w:cs="Arial"/>
        </w:rPr>
        <w:t>Pernoctas”</w:t>
      </w:r>
      <w:r w:rsidR="00067B96" w:rsidRPr="00494E2C">
        <w:rPr>
          <w:rFonts w:ascii="Arial" w:hAnsi="Arial" w:cs="Arial"/>
        </w:rPr>
        <w:t xml:space="preserve"> </w:t>
      </w:r>
      <w:r w:rsidRPr="00494E2C">
        <w:rPr>
          <w:rFonts w:ascii="Arial" w:hAnsi="Arial" w:cs="Arial"/>
        </w:rPr>
        <w:t xml:space="preserve">con base en las cuotas de las tablas </w:t>
      </w:r>
      <w:r w:rsidR="008F66DF">
        <w:rPr>
          <w:rFonts w:ascii="Arial" w:hAnsi="Arial" w:cs="Arial"/>
        </w:rPr>
        <w:t>3</w:t>
      </w:r>
      <w:r w:rsidR="00242E3A" w:rsidRPr="00494E2C">
        <w:rPr>
          <w:rFonts w:ascii="Arial" w:hAnsi="Arial" w:cs="Arial"/>
        </w:rPr>
        <w:t>.3</w:t>
      </w:r>
      <w:r w:rsidR="00067B96" w:rsidRPr="00494E2C">
        <w:rPr>
          <w:rFonts w:ascii="Arial" w:hAnsi="Arial" w:cs="Arial"/>
        </w:rPr>
        <w:t>;</w:t>
      </w:r>
      <w:r w:rsidRPr="00494E2C">
        <w:rPr>
          <w:rFonts w:ascii="Arial" w:hAnsi="Arial" w:cs="Arial"/>
        </w:rPr>
        <w:t xml:space="preserve"> </w:t>
      </w:r>
      <w:r w:rsidR="008F66DF">
        <w:rPr>
          <w:rFonts w:ascii="Arial" w:hAnsi="Arial" w:cs="Arial"/>
        </w:rPr>
        <w:t>3</w:t>
      </w:r>
      <w:r w:rsidR="00242E3A" w:rsidRPr="00494E2C">
        <w:rPr>
          <w:rFonts w:ascii="Arial" w:hAnsi="Arial" w:cs="Arial"/>
        </w:rPr>
        <w:t>.4</w:t>
      </w:r>
      <w:r w:rsidR="00067B96" w:rsidRPr="00494E2C">
        <w:rPr>
          <w:rFonts w:ascii="Arial" w:hAnsi="Arial" w:cs="Arial"/>
        </w:rPr>
        <w:t>;</w:t>
      </w:r>
      <w:r w:rsidRPr="00494E2C">
        <w:rPr>
          <w:rFonts w:ascii="Arial" w:hAnsi="Arial" w:cs="Arial"/>
        </w:rPr>
        <w:t xml:space="preserve"> </w:t>
      </w:r>
      <w:r w:rsidR="00302D57" w:rsidRPr="00494E2C">
        <w:rPr>
          <w:rFonts w:ascii="Arial" w:hAnsi="Arial" w:cs="Arial"/>
        </w:rPr>
        <w:t xml:space="preserve">y </w:t>
      </w:r>
      <w:r w:rsidR="008F66DF">
        <w:rPr>
          <w:rFonts w:ascii="Arial" w:hAnsi="Arial" w:cs="Arial"/>
        </w:rPr>
        <w:t>3</w:t>
      </w:r>
      <w:r w:rsidR="00242E3A" w:rsidRPr="00494E2C">
        <w:rPr>
          <w:rFonts w:ascii="Arial" w:hAnsi="Arial" w:cs="Arial"/>
        </w:rPr>
        <w:t>.5</w:t>
      </w:r>
      <w:r w:rsidR="00067B96" w:rsidRPr="00494E2C">
        <w:rPr>
          <w:rFonts w:ascii="Arial" w:hAnsi="Arial" w:cs="Arial"/>
        </w:rPr>
        <w:t xml:space="preserve"> </w:t>
      </w:r>
      <w:r w:rsidRPr="00494E2C">
        <w:rPr>
          <w:rFonts w:ascii="Arial" w:hAnsi="Arial" w:cs="Arial"/>
        </w:rPr>
        <w:t>respectivamente.</w:t>
      </w:r>
    </w:p>
    <w:p w:rsidR="00C0110C" w:rsidRPr="00494E2C" w:rsidRDefault="00C0110C" w:rsidP="00BA25FF">
      <w:pPr>
        <w:pStyle w:val="Prrafodelista"/>
        <w:numPr>
          <w:ilvl w:val="0"/>
          <w:numId w:val="28"/>
        </w:numPr>
        <w:ind w:left="426"/>
        <w:jc w:val="both"/>
        <w:rPr>
          <w:rFonts w:ascii="Arial" w:hAnsi="Arial" w:cs="Arial"/>
          <w:b/>
          <w:smallCaps/>
        </w:rPr>
      </w:pPr>
      <w:r w:rsidRPr="00494E2C">
        <w:rPr>
          <w:rFonts w:ascii="Arial" w:hAnsi="Arial" w:cs="Arial"/>
          <w:b/>
          <w:smallCaps/>
        </w:rPr>
        <w:t>Consideraciones para cuantificar los requerimientos de apoyo</w:t>
      </w:r>
    </w:p>
    <w:p w:rsidR="00284A09" w:rsidRPr="00494E2C" w:rsidRDefault="00284A09" w:rsidP="00C83F3B">
      <w:pPr>
        <w:pStyle w:val="Prrafodelista"/>
        <w:ind w:left="888"/>
        <w:jc w:val="both"/>
        <w:rPr>
          <w:rFonts w:ascii="Arial" w:hAnsi="Arial" w:cs="Arial"/>
          <w:b/>
          <w:smallCaps/>
        </w:rPr>
      </w:pPr>
    </w:p>
    <w:p w:rsidR="00F3008C" w:rsidRPr="000838D8" w:rsidRDefault="00F3008C" w:rsidP="00C83F3B">
      <w:pPr>
        <w:pStyle w:val="Prrafodelista"/>
        <w:numPr>
          <w:ilvl w:val="1"/>
          <w:numId w:val="28"/>
        </w:numPr>
        <w:ind w:left="822"/>
        <w:jc w:val="both"/>
        <w:rPr>
          <w:rFonts w:ascii="Arial" w:hAnsi="Arial" w:cs="Arial"/>
          <w:b/>
          <w:smallCaps/>
        </w:rPr>
      </w:pPr>
      <w:r w:rsidRPr="000838D8">
        <w:rPr>
          <w:rFonts w:ascii="Arial" w:hAnsi="Arial" w:cs="Arial"/>
        </w:rPr>
        <w:t>Para los participantes voluntarios externos, según los requerimientos específicos, p</w:t>
      </w:r>
      <w:r w:rsidR="00686612" w:rsidRPr="000838D8">
        <w:rPr>
          <w:rFonts w:ascii="Arial" w:hAnsi="Arial" w:cs="Arial"/>
        </w:rPr>
        <w:t>ueden</w:t>
      </w:r>
      <w:r w:rsidRPr="000838D8">
        <w:rPr>
          <w:rFonts w:ascii="Arial" w:hAnsi="Arial" w:cs="Arial"/>
        </w:rPr>
        <w:t xml:space="preserve"> </w:t>
      </w:r>
      <w:r w:rsidR="00F02C0F" w:rsidRPr="000838D8">
        <w:rPr>
          <w:rFonts w:ascii="Arial" w:hAnsi="Arial" w:cs="Arial"/>
        </w:rPr>
        <w:t>cuantificarse</w:t>
      </w:r>
      <w:r w:rsidR="008C086A" w:rsidRPr="000838D8">
        <w:rPr>
          <w:rFonts w:ascii="Arial" w:hAnsi="Arial" w:cs="Arial"/>
        </w:rPr>
        <w:t xml:space="preserve"> </w:t>
      </w:r>
      <w:r w:rsidRPr="000838D8">
        <w:rPr>
          <w:rFonts w:ascii="Arial" w:hAnsi="Arial" w:cs="Arial"/>
        </w:rPr>
        <w:t xml:space="preserve">todos los </w:t>
      </w:r>
      <w:r w:rsidR="003636AA" w:rsidRPr="000838D8">
        <w:rPr>
          <w:rFonts w:ascii="Arial" w:hAnsi="Arial" w:cs="Arial"/>
        </w:rPr>
        <w:t>conceptos</w:t>
      </w:r>
      <w:r w:rsidRPr="000838D8">
        <w:rPr>
          <w:rFonts w:ascii="Arial" w:hAnsi="Arial" w:cs="Arial"/>
        </w:rPr>
        <w:t xml:space="preserve"> de </w:t>
      </w:r>
      <w:r w:rsidR="00067B96" w:rsidRPr="000838D8">
        <w:rPr>
          <w:rFonts w:ascii="Arial" w:hAnsi="Arial" w:cs="Arial"/>
        </w:rPr>
        <w:t>apoyo</w:t>
      </w:r>
      <w:r w:rsidRPr="000838D8">
        <w:rPr>
          <w:rFonts w:ascii="Arial" w:hAnsi="Arial" w:cs="Arial"/>
        </w:rPr>
        <w:t>.</w:t>
      </w:r>
    </w:p>
    <w:p w:rsidR="00284A09" w:rsidRPr="00494E2C" w:rsidRDefault="00284A09" w:rsidP="00C83F3B">
      <w:pPr>
        <w:pStyle w:val="Prrafodelista"/>
        <w:ind w:left="851"/>
        <w:jc w:val="both"/>
        <w:rPr>
          <w:rFonts w:ascii="Arial" w:hAnsi="Arial" w:cs="Arial"/>
          <w:b/>
          <w:smallCaps/>
        </w:rPr>
      </w:pPr>
    </w:p>
    <w:p w:rsidR="00243555" w:rsidRDefault="00F3008C" w:rsidP="00C83F3B">
      <w:pPr>
        <w:pStyle w:val="Prrafodelista"/>
        <w:numPr>
          <w:ilvl w:val="1"/>
          <w:numId w:val="28"/>
        </w:numPr>
        <w:ind w:left="851"/>
        <w:jc w:val="both"/>
        <w:rPr>
          <w:rFonts w:ascii="Arial" w:hAnsi="Arial" w:cs="Arial"/>
        </w:rPr>
      </w:pPr>
      <w:r w:rsidRPr="00494E2C">
        <w:rPr>
          <w:rFonts w:ascii="Arial" w:hAnsi="Arial" w:cs="Arial"/>
        </w:rPr>
        <w:t xml:space="preserve">Las cuotas que se presentan en este documento para cada </w:t>
      </w:r>
      <w:r w:rsidR="003636AA" w:rsidRPr="00494E2C">
        <w:rPr>
          <w:rFonts w:ascii="Arial" w:hAnsi="Arial" w:cs="Arial"/>
        </w:rPr>
        <w:t>concepto</w:t>
      </w:r>
      <w:r w:rsidRPr="00494E2C">
        <w:rPr>
          <w:rFonts w:ascii="Arial" w:hAnsi="Arial" w:cs="Arial"/>
        </w:rPr>
        <w:t xml:space="preserve"> de </w:t>
      </w:r>
      <w:r w:rsidR="00067B96" w:rsidRPr="00494E2C">
        <w:rPr>
          <w:rFonts w:ascii="Arial" w:hAnsi="Arial" w:cs="Arial"/>
        </w:rPr>
        <w:t>apoyo</w:t>
      </w:r>
      <w:r w:rsidRPr="00494E2C">
        <w:rPr>
          <w:rFonts w:ascii="Arial" w:hAnsi="Arial" w:cs="Arial"/>
        </w:rPr>
        <w:t xml:space="preserve"> están determinadas con base en el Salario Mínimo General (SMG) vigente para</w:t>
      </w:r>
      <w:r w:rsidRPr="00E66D0B">
        <w:rPr>
          <w:rFonts w:ascii="Arial" w:hAnsi="Arial" w:cs="Arial"/>
        </w:rPr>
        <w:t xml:space="preserve"> el </w:t>
      </w:r>
      <w:r w:rsidR="00EC1E6B">
        <w:rPr>
          <w:rFonts w:ascii="Arial" w:hAnsi="Arial" w:cs="Arial"/>
        </w:rPr>
        <w:t>2020</w:t>
      </w:r>
      <w:r w:rsidR="00AF71D3">
        <w:rPr>
          <w:rFonts w:ascii="Arial" w:hAnsi="Arial" w:cs="Arial"/>
        </w:rPr>
        <w:t>;</w:t>
      </w:r>
      <w:r w:rsidR="00AF71D3" w:rsidRPr="00E66D0B">
        <w:rPr>
          <w:rFonts w:ascii="Arial" w:hAnsi="Arial" w:cs="Arial"/>
        </w:rPr>
        <w:t xml:space="preserve"> </w:t>
      </w:r>
      <w:r w:rsidR="00AF71D3">
        <w:rPr>
          <w:rFonts w:ascii="Arial" w:hAnsi="Arial" w:cs="Arial"/>
        </w:rPr>
        <w:t>(</w:t>
      </w:r>
      <w:r w:rsidR="00F67290">
        <w:rPr>
          <w:rFonts w:ascii="Arial" w:hAnsi="Arial" w:cs="Arial"/>
        </w:rPr>
        <w:t>con la finalidad de evitar centavos se aplicará un redondeo aritmético desde la tarifa unitaria</w:t>
      </w:r>
      <w:r w:rsidR="00067B96">
        <w:rPr>
          <w:rFonts w:ascii="Arial" w:hAnsi="Arial" w:cs="Arial"/>
        </w:rPr>
        <w:t>)</w:t>
      </w:r>
      <w:r w:rsidR="00F67290">
        <w:rPr>
          <w:rFonts w:ascii="Arial" w:hAnsi="Arial" w:cs="Arial"/>
        </w:rPr>
        <w:t xml:space="preserve"> </w:t>
      </w:r>
      <w:r w:rsidR="00F67290" w:rsidRPr="00E66D0B">
        <w:rPr>
          <w:rFonts w:ascii="Arial" w:hAnsi="Arial" w:cs="Arial"/>
        </w:rPr>
        <w:t xml:space="preserve">y se aplicarán </w:t>
      </w:r>
      <w:r w:rsidR="00326528" w:rsidRPr="00E66D0B">
        <w:rPr>
          <w:rFonts w:ascii="Arial" w:hAnsi="Arial" w:cs="Arial"/>
        </w:rPr>
        <w:t>de acuerdo con</w:t>
      </w:r>
      <w:r w:rsidR="00F67290" w:rsidRPr="00E66D0B">
        <w:rPr>
          <w:rFonts w:ascii="Arial" w:hAnsi="Arial" w:cs="Arial"/>
        </w:rPr>
        <w:t xml:space="preserve"> la </w:t>
      </w:r>
      <w:r w:rsidRPr="00E66D0B">
        <w:rPr>
          <w:rFonts w:ascii="Arial" w:hAnsi="Arial" w:cs="Arial"/>
        </w:rPr>
        <w:t>siguiente tabla:</w:t>
      </w:r>
    </w:p>
    <w:p w:rsidR="00494E2C" w:rsidRDefault="00494E2C" w:rsidP="00494E2C">
      <w:pPr>
        <w:pStyle w:val="Prrafodelista"/>
        <w:ind w:left="851"/>
        <w:jc w:val="both"/>
        <w:rPr>
          <w:rFonts w:ascii="Arial" w:hAnsi="Arial" w:cs="Arial"/>
        </w:rPr>
      </w:pPr>
    </w:p>
    <w:p w:rsidR="003D1234" w:rsidRDefault="003D1234" w:rsidP="000838D8">
      <w:pPr>
        <w:pStyle w:val="Prrafodelista"/>
        <w:numPr>
          <w:ilvl w:val="1"/>
          <w:numId w:val="28"/>
        </w:numPr>
        <w:ind w:left="851"/>
        <w:jc w:val="both"/>
        <w:rPr>
          <w:rFonts w:ascii="Arial" w:hAnsi="Arial" w:cs="Arial"/>
        </w:rPr>
      </w:pPr>
      <w:r w:rsidRPr="00E66D0B">
        <w:rPr>
          <w:rFonts w:ascii="Arial" w:hAnsi="Arial" w:cs="Arial"/>
        </w:rPr>
        <w:t xml:space="preserve">Las cuotas que se presentan en este documento para </w:t>
      </w:r>
      <w:r>
        <w:rPr>
          <w:rFonts w:ascii="Arial" w:hAnsi="Arial" w:cs="Arial"/>
        </w:rPr>
        <w:t>determinar la estimación de los recursos por concepto de “Apoyo E</w:t>
      </w:r>
      <w:r w:rsidRPr="005546D7">
        <w:rPr>
          <w:rFonts w:ascii="Arial" w:hAnsi="Arial" w:cs="Arial"/>
        </w:rPr>
        <w:t>conómico</w:t>
      </w:r>
      <w:r>
        <w:rPr>
          <w:rFonts w:ascii="Arial" w:hAnsi="Arial" w:cs="Arial"/>
        </w:rPr>
        <w:t xml:space="preserve">” </w:t>
      </w:r>
      <w:r w:rsidRPr="00E66D0B">
        <w:rPr>
          <w:rFonts w:ascii="Arial" w:hAnsi="Arial" w:cs="Arial"/>
        </w:rPr>
        <w:t>se aplicarán con base en lo establecido en la siguiente tabla:</w:t>
      </w:r>
    </w:p>
    <w:tbl>
      <w:tblPr>
        <w:tblW w:w="8461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7"/>
        <w:gridCol w:w="2116"/>
        <w:gridCol w:w="4038"/>
      </w:tblGrid>
      <w:tr w:rsidR="0004260A" w:rsidRPr="00764F12" w:rsidTr="0004260A">
        <w:trPr>
          <w:trHeight w:val="564"/>
        </w:trPr>
        <w:tc>
          <w:tcPr>
            <w:tcW w:w="846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F243E" w:themeFill="text2" w:themeFillShade="80"/>
          </w:tcPr>
          <w:p w:rsidR="0004260A" w:rsidRPr="00764F12" w:rsidRDefault="00E96AE3" w:rsidP="000426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Tabla </w:t>
            </w:r>
            <w:r w:rsidR="008F66DF">
              <w:rPr>
                <w:rFonts w:ascii="Arial" w:hAnsi="Arial" w:cs="Arial"/>
                <w:b/>
                <w:bCs/>
                <w:sz w:val="18"/>
                <w:szCs w:val="18"/>
              </w:rPr>
              <w:t>3.</w:t>
            </w:r>
            <w:r w:rsidR="0004260A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="0004260A" w:rsidRPr="00764F1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</w:t>
            </w:r>
            <w:r w:rsidR="0004260A" w:rsidRPr="00764F12">
              <w:rPr>
                <w:rFonts w:ascii="Arial" w:hAnsi="Arial" w:cs="Arial"/>
                <w:b/>
                <w:sz w:val="18"/>
                <w:szCs w:val="18"/>
              </w:rPr>
              <w:t>Cuotas para determinar la estimación d</w:t>
            </w:r>
            <w:r w:rsidR="0004260A">
              <w:rPr>
                <w:rFonts w:ascii="Arial" w:hAnsi="Arial" w:cs="Arial"/>
                <w:b/>
                <w:sz w:val="18"/>
                <w:szCs w:val="18"/>
              </w:rPr>
              <w:t xml:space="preserve">e los recursos por concepto de </w:t>
            </w:r>
            <w:r w:rsidR="0004260A" w:rsidRPr="00764F12">
              <w:rPr>
                <w:rFonts w:ascii="Arial" w:hAnsi="Arial" w:cs="Arial"/>
                <w:b/>
                <w:sz w:val="18"/>
                <w:szCs w:val="18"/>
              </w:rPr>
              <w:t>Apoyo Económico</w:t>
            </w:r>
          </w:p>
        </w:tc>
      </w:tr>
      <w:tr w:rsidR="0004260A" w:rsidRPr="00764F12" w:rsidTr="0004260A">
        <w:trPr>
          <w:trHeight w:val="564"/>
        </w:trPr>
        <w:tc>
          <w:tcPr>
            <w:tcW w:w="23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F243E" w:themeFill="text2" w:themeFillShade="80"/>
            <w:vAlign w:val="center"/>
          </w:tcPr>
          <w:p w:rsidR="0004260A" w:rsidRPr="00764F12" w:rsidRDefault="0004260A" w:rsidP="0004260A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4F12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SMG -diario-</w:t>
            </w:r>
          </w:p>
        </w:tc>
        <w:tc>
          <w:tcPr>
            <w:tcW w:w="615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F243E" w:themeFill="text2" w:themeFillShade="80"/>
            <w:vAlign w:val="center"/>
          </w:tcPr>
          <w:p w:rsidR="0004260A" w:rsidRPr="00764F12" w:rsidRDefault="0004260A" w:rsidP="0004260A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4F12">
              <w:rPr>
                <w:rFonts w:ascii="Arial" w:hAnsi="Arial" w:cs="Arial"/>
                <w:b/>
                <w:bCs/>
                <w:sz w:val="18"/>
                <w:szCs w:val="18"/>
              </w:rPr>
              <w:t>Cuota Aplicadores</w:t>
            </w:r>
          </w:p>
        </w:tc>
      </w:tr>
      <w:tr w:rsidR="0004260A" w:rsidRPr="00E96AE3" w:rsidTr="0004260A">
        <w:trPr>
          <w:trHeight w:val="272"/>
        </w:trPr>
        <w:tc>
          <w:tcPr>
            <w:tcW w:w="2307" w:type="dxa"/>
            <w:vAlign w:val="bottom"/>
          </w:tcPr>
          <w:p w:rsidR="0004260A" w:rsidRPr="00764F12" w:rsidRDefault="0004260A" w:rsidP="007408F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4F12">
              <w:rPr>
                <w:rFonts w:ascii="Arial" w:hAnsi="Arial" w:cs="Arial"/>
                <w:sz w:val="18"/>
                <w:szCs w:val="18"/>
              </w:rPr>
              <w:t xml:space="preserve"> $     </w:t>
            </w:r>
            <w:r w:rsidR="007408F4">
              <w:rPr>
                <w:rFonts w:ascii="Arial" w:hAnsi="Arial" w:cs="Arial"/>
                <w:sz w:val="18"/>
                <w:szCs w:val="18"/>
              </w:rPr>
              <w:t>8</w:t>
            </w:r>
            <w:r w:rsidR="00326528">
              <w:rPr>
                <w:rFonts w:ascii="Arial" w:hAnsi="Arial" w:cs="Arial"/>
                <w:sz w:val="18"/>
                <w:szCs w:val="18"/>
              </w:rPr>
              <w:t>8</w:t>
            </w:r>
            <w:r w:rsidRPr="00764F12">
              <w:rPr>
                <w:rFonts w:ascii="Arial" w:hAnsi="Arial" w:cs="Arial"/>
                <w:sz w:val="18"/>
                <w:szCs w:val="18"/>
              </w:rPr>
              <w:t>.</w:t>
            </w:r>
            <w:r w:rsidR="00326528">
              <w:rPr>
                <w:rFonts w:ascii="Arial" w:hAnsi="Arial" w:cs="Arial"/>
                <w:sz w:val="18"/>
                <w:szCs w:val="18"/>
              </w:rPr>
              <w:t>36</w:t>
            </w:r>
            <w:r w:rsidRPr="00764F1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16" w:type="dxa"/>
          </w:tcPr>
          <w:p w:rsidR="0004260A" w:rsidRPr="00764F12" w:rsidRDefault="0004260A" w:rsidP="0004260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446F">
              <w:rPr>
                <w:rFonts w:ascii="Arial" w:hAnsi="Arial" w:cs="Arial"/>
                <w:sz w:val="18"/>
                <w:szCs w:val="18"/>
              </w:rPr>
              <w:t>6.5</w:t>
            </w:r>
          </w:p>
        </w:tc>
        <w:tc>
          <w:tcPr>
            <w:tcW w:w="4037" w:type="dxa"/>
            <w:vAlign w:val="bottom"/>
          </w:tcPr>
          <w:p w:rsidR="0004260A" w:rsidRPr="00764F12" w:rsidRDefault="0004260A" w:rsidP="007408F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4F12">
              <w:rPr>
                <w:rFonts w:ascii="Arial" w:hAnsi="Arial" w:cs="Arial"/>
                <w:sz w:val="18"/>
                <w:szCs w:val="18"/>
              </w:rPr>
              <w:t xml:space="preserve"> $   </w:t>
            </w:r>
            <w:r w:rsidR="007408F4">
              <w:rPr>
                <w:rFonts w:ascii="Arial" w:hAnsi="Arial" w:cs="Arial"/>
                <w:sz w:val="18"/>
                <w:szCs w:val="18"/>
              </w:rPr>
              <w:t>5</w:t>
            </w:r>
            <w:r w:rsidR="00326528">
              <w:rPr>
                <w:rFonts w:ascii="Arial" w:hAnsi="Arial" w:cs="Arial"/>
                <w:sz w:val="18"/>
                <w:szCs w:val="18"/>
              </w:rPr>
              <w:t>74</w:t>
            </w:r>
            <w:r>
              <w:rPr>
                <w:rFonts w:ascii="Arial" w:hAnsi="Arial" w:cs="Arial"/>
                <w:sz w:val="18"/>
                <w:szCs w:val="18"/>
              </w:rPr>
              <w:t>.00</w:t>
            </w:r>
          </w:p>
        </w:tc>
      </w:tr>
    </w:tbl>
    <w:p w:rsidR="00073A32" w:rsidRPr="00494E2C" w:rsidRDefault="00073A32" w:rsidP="008B0447">
      <w:pPr>
        <w:ind w:firstLine="491"/>
        <w:rPr>
          <w:rFonts w:ascii="Arial" w:hAnsi="Arial" w:cs="Arial"/>
        </w:rPr>
      </w:pPr>
    </w:p>
    <w:p w:rsidR="005B7E6B" w:rsidRPr="00D5301B" w:rsidRDefault="0004260A" w:rsidP="000838D8">
      <w:pPr>
        <w:pStyle w:val="Prrafodelista"/>
        <w:numPr>
          <w:ilvl w:val="1"/>
          <w:numId w:val="28"/>
        </w:numPr>
        <w:ind w:left="851"/>
        <w:jc w:val="both"/>
        <w:rPr>
          <w:rFonts w:ascii="Arial" w:hAnsi="Arial" w:cs="Arial"/>
        </w:rPr>
      </w:pPr>
      <w:r w:rsidRPr="00E66D0B">
        <w:rPr>
          <w:rFonts w:ascii="Arial" w:hAnsi="Arial" w:cs="Arial"/>
        </w:rPr>
        <w:t xml:space="preserve"> </w:t>
      </w:r>
      <w:r w:rsidR="00284A09" w:rsidRPr="00E66D0B">
        <w:rPr>
          <w:rFonts w:ascii="Arial" w:hAnsi="Arial" w:cs="Arial"/>
        </w:rPr>
        <w:t xml:space="preserve">Las cuotas que se presentan en este documento para </w:t>
      </w:r>
      <w:r w:rsidR="00C53A1F">
        <w:rPr>
          <w:rFonts w:ascii="Arial" w:hAnsi="Arial" w:cs="Arial"/>
        </w:rPr>
        <w:t>determinar la estimación de los recursos por concepto de “</w:t>
      </w:r>
      <w:r w:rsidR="003D1234">
        <w:rPr>
          <w:rFonts w:ascii="Arial" w:hAnsi="Arial" w:cs="Arial"/>
        </w:rPr>
        <w:t xml:space="preserve">Apoyo para </w:t>
      </w:r>
      <w:r w:rsidR="00C53A1F">
        <w:rPr>
          <w:rFonts w:ascii="Arial" w:hAnsi="Arial" w:cs="Arial"/>
        </w:rPr>
        <w:t>T</w:t>
      </w:r>
      <w:r w:rsidR="00C53A1F" w:rsidRPr="005546D7">
        <w:rPr>
          <w:rFonts w:ascii="Arial" w:hAnsi="Arial" w:cs="Arial"/>
        </w:rPr>
        <w:t>raslados</w:t>
      </w:r>
      <w:r w:rsidR="00C53A1F">
        <w:rPr>
          <w:rFonts w:ascii="Arial" w:hAnsi="Arial" w:cs="Arial"/>
        </w:rPr>
        <w:t xml:space="preserve">” </w:t>
      </w:r>
      <w:r w:rsidR="00284A09" w:rsidRPr="00E66D0B">
        <w:rPr>
          <w:rFonts w:ascii="Arial" w:hAnsi="Arial" w:cs="Arial"/>
        </w:rPr>
        <w:t>se aplicarán con base en lo establecido en la siguiente tabla:</w:t>
      </w:r>
    </w:p>
    <w:tbl>
      <w:tblPr>
        <w:tblW w:w="8461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7"/>
        <w:gridCol w:w="1538"/>
        <w:gridCol w:w="1539"/>
        <w:gridCol w:w="1538"/>
        <w:gridCol w:w="1539"/>
      </w:tblGrid>
      <w:tr w:rsidR="005B7E6B" w:rsidRPr="00E96AE3" w:rsidTr="009E319A">
        <w:trPr>
          <w:trHeight w:val="564"/>
        </w:trPr>
        <w:tc>
          <w:tcPr>
            <w:tcW w:w="8461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F243E" w:themeFill="text2" w:themeFillShade="80"/>
            <w:vAlign w:val="center"/>
          </w:tcPr>
          <w:p w:rsidR="005B7E6B" w:rsidRPr="00764F12" w:rsidRDefault="00CF5AB0" w:rsidP="00E96A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6AE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Tabla </w:t>
            </w:r>
            <w:r w:rsidR="008F66DF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="005B7E6B" w:rsidRPr="00E96AE3">
              <w:rPr>
                <w:rFonts w:ascii="Arial" w:hAnsi="Arial" w:cs="Arial"/>
                <w:b/>
                <w:bCs/>
                <w:sz w:val="18"/>
                <w:szCs w:val="18"/>
              </w:rPr>
              <w:t>.4. Cuotas para determinar la estimación de los recursos por concepto de Apoyo para Traslados</w:t>
            </w:r>
          </w:p>
        </w:tc>
      </w:tr>
      <w:tr w:rsidR="005B7E6B" w:rsidRPr="00764F12" w:rsidTr="00DC780A">
        <w:trPr>
          <w:trHeight w:val="564"/>
        </w:trPr>
        <w:tc>
          <w:tcPr>
            <w:tcW w:w="23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F243E" w:themeFill="text2" w:themeFillShade="80"/>
            <w:vAlign w:val="center"/>
          </w:tcPr>
          <w:p w:rsidR="005B7E6B" w:rsidRPr="00764F12" w:rsidRDefault="005B7E6B" w:rsidP="005A2C00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4F12">
              <w:rPr>
                <w:rFonts w:ascii="Arial" w:hAnsi="Arial" w:cs="Arial"/>
                <w:b/>
                <w:bCs/>
                <w:sz w:val="18"/>
                <w:szCs w:val="18"/>
              </w:rPr>
              <w:t>SMG -diario-</w:t>
            </w:r>
          </w:p>
        </w:tc>
        <w:tc>
          <w:tcPr>
            <w:tcW w:w="307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F243E" w:themeFill="text2" w:themeFillShade="80"/>
            <w:vAlign w:val="center"/>
          </w:tcPr>
          <w:p w:rsidR="005B7E6B" w:rsidRPr="00764F12" w:rsidRDefault="005B7E6B" w:rsidP="005B7E6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4F12">
              <w:rPr>
                <w:rFonts w:ascii="Arial" w:hAnsi="Arial" w:cs="Arial"/>
                <w:b/>
                <w:bCs/>
                <w:sz w:val="18"/>
                <w:szCs w:val="18"/>
              </w:rPr>
              <w:t>Cuota por viaje redondo</w:t>
            </w:r>
          </w:p>
          <w:p w:rsidR="005B7E6B" w:rsidRPr="00764F12" w:rsidRDefault="005B7E6B" w:rsidP="005B7E6B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4F12">
              <w:rPr>
                <w:rFonts w:ascii="Arial" w:hAnsi="Arial" w:cs="Arial"/>
                <w:b/>
                <w:bCs/>
                <w:sz w:val="18"/>
                <w:szCs w:val="18"/>
              </w:rPr>
              <w:t>Traslados locales (dentro de un radio menor a 50 km)</w:t>
            </w:r>
          </w:p>
        </w:tc>
        <w:tc>
          <w:tcPr>
            <w:tcW w:w="307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F243E" w:themeFill="text2" w:themeFillShade="80"/>
            <w:vAlign w:val="center"/>
          </w:tcPr>
          <w:p w:rsidR="005B7E6B" w:rsidRPr="00764F12" w:rsidRDefault="005B7E6B" w:rsidP="005B7E6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4F12">
              <w:rPr>
                <w:rFonts w:ascii="Arial" w:hAnsi="Arial" w:cs="Arial"/>
                <w:b/>
                <w:bCs/>
                <w:sz w:val="18"/>
                <w:szCs w:val="18"/>
              </w:rPr>
              <w:t>Cuota por viaje redondo</w:t>
            </w:r>
          </w:p>
          <w:p w:rsidR="005B7E6B" w:rsidRPr="00764F12" w:rsidRDefault="005B7E6B" w:rsidP="005B7E6B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4F12">
              <w:rPr>
                <w:rFonts w:ascii="Arial" w:hAnsi="Arial" w:cs="Arial"/>
                <w:b/>
                <w:bCs/>
                <w:sz w:val="18"/>
                <w:szCs w:val="18"/>
              </w:rPr>
              <w:t>Traslados foráneos (distancias mayores a 50 km)</w:t>
            </w:r>
          </w:p>
        </w:tc>
      </w:tr>
      <w:tr w:rsidR="005B7E6B" w:rsidRPr="00764F12" w:rsidTr="00AB446F">
        <w:trPr>
          <w:trHeight w:val="272"/>
        </w:trPr>
        <w:tc>
          <w:tcPr>
            <w:tcW w:w="2307" w:type="dxa"/>
            <w:vAlign w:val="bottom"/>
          </w:tcPr>
          <w:p w:rsidR="005B7E6B" w:rsidRPr="00E42A42" w:rsidRDefault="005B7E6B" w:rsidP="007408F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A6DAD">
              <w:rPr>
                <w:rFonts w:ascii="Arial" w:hAnsi="Arial" w:cs="Arial"/>
                <w:sz w:val="18"/>
                <w:szCs w:val="18"/>
              </w:rPr>
              <w:t xml:space="preserve"> $     </w:t>
            </w:r>
            <w:r w:rsidR="007408F4" w:rsidRPr="007A6DAD">
              <w:rPr>
                <w:rFonts w:ascii="Arial" w:hAnsi="Arial" w:cs="Arial"/>
                <w:sz w:val="18"/>
                <w:szCs w:val="18"/>
              </w:rPr>
              <w:t>8</w:t>
            </w:r>
            <w:r w:rsidR="00326528" w:rsidRPr="007A6DAD">
              <w:rPr>
                <w:rFonts w:ascii="Arial" w:hAnsi="Arial" w:cs="Arial"/>
                <w:sz w:val="18"/>
                <w:szCs w:val="18"/>
              </w:rPr>
              <w:t>8</w:t>
            </w:r>
            <w:r w:rsidRPr="007A6DAD">
              <w:rPr>
                <w:rFonts w:ascii="Arial" w:hAnsi="Arial" w:cs="Arial"/>
                <w:sz w:val="18"/>
                <w:szCs w:val="18"/>
              </w:rPr>
              <w:t>.</w:t>
            </w:r>
            <w:r w:rsidR="007A6DAD"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1538" w:type="dxa"/>
          </w:tcPr>
          <w:p w:rsidR="005B7E6B" w:rsidRPr="00764F12" w:rsidRDefault="005B7E6B" w:rsidP="005A2C00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446F"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1539" w:type="dxa"/>
          </w:tcPr>
          <w:p w:rsidR="005B7E6B" w:rsidRPr="00764F12" w:rsidRDefault="005B7E6B" w:rsidP="007408F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4F12">
              <w:rPr>
                <w:rFonts w:ascii="Arial" w:hAnsi="Arial" w:cs="Arial"/>
                <w:sz w:val="18"/>
                <w:szCs w:val="18"/>
              </w:rPr>
              <w:t xml:space="preserve"> $   </w:t>
            </w:r>
            <w:r w:rsidR="007408F4">
              <w:rPr>
                <w:rFonts w:ascii="Arial" w:hAnsi="Arial" w:cs="Arial"/>
                <w:sz w:val="18"/>
                <w:szCs w:val="18"/>
              </w:rPr>
              <w:t>2</w:t>
            </w:r>
            <w:r w:rsidR="007A6DAD">
              <w:rPr>
                <w:rFonts w:ascii="Arial" w:hAnsi="Arial" w:cs="Arial"/>
                <w:sz w:val="18"/>
                <w:szCs w:val="18"/>
              </w:rPr>
              <w:t>21</w:t>
            </w:r>
            <w:r>
              <w:rPr>
                <w:rFonts w:ascii="Arial" w:hAnsi="Arial" w:cs="Arial"/>
                <w:sz w:val="18"/>
                <w:szCs w:val="18"/>
              </w:rPr>
              <w:t>.00</w:t>
            </w:r>
          </w:p>
        </w:tc>
        <w:tc>
          <w:tcPr>
            <w:tcW w:w="1538" w:type="dxa"/>
            <w:shd w:val="clear" w:color="auto" w:fill="auto"/>
          </w:tcPr>
          <w:p w:rsidR="005B7E6B" w:rsidRPr="00764F12" w:rsidRDefault="005B7E6B" w:rsidP="005A2C00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446F">
              <w:rPr>
                <w:rFonts w:ascii="Arial" w:hAnsi="Arial" w:cs="Arial"/>
                <w:sz w:val="18"/>
                <w:szCs w:val="18"/>
              </w:rPr>
              <w:t>4.5</w:t>
            </w:r>
          </w:p>
        </w:tc>
        <w:tc>
          <w:tcPr>
            <w:tcW w:w="1539" w:type="dxa"/>
          </w:tcPr>
          <w:p w:rsidR="005B7E6B" w:rsidRPr="00764F12" w:rsidRDefault="00DC780A" w:rsidP="007408F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4F12">
              <w:rPr>
                <w:rFonts w:ascii="Arial" w:hAnsi="Arial" w:cs="Arial"/>
                <w:sz w:val="18"/>
                <w:szCs w:val="18"/>
              </w:rPr>
              <w:t xml:space="preserve">$  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7A6DAD">
              <w:rPr>
                <w:rFonts w:ascii="Arial" w:hAnsi="Arial" w:cs="Arial"/>
                <w:sz w:val="18"/>
                <w:szCs w:val="18"/>
              </w:rPr>
              <w:t>98</w:t>
            </w:r>
            <w:r w:rsidRPr="00764F12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</w:tr>
    </w:tbl>
    <w:p w:rsidR="00C0110C" w:rsidRPr="00BA25FF" w:rsidRDefault="00C0110C" w:rsidP="00BA25FF">
      <w:pPr>
        <w:jc w:val="both"/>
        <w:rPr>
          <w:rFonts w:ascii="Arial" w:hAnsi="Arial" w:cs="Arial"/>
        </w:rPr>
      </w:pPr>
    </w:p>
    <w:p w:rsidR="008B0447" w:rsidRDefault="008B0447" w:rsidP="000838D8">
      <w:pPr>
        <w:pStyle w:val="Prrafodelista"/>
        <w:numPr>
          <w:ilvl w:val="1"/>
          <w:numId w:val="28"/>
        </w:numPr>
        <w:ind w:left="851"/>
        <w:jc w:val="both"/>
        <w:rPr>
          <w:rFonts w:ascii="Arial" w:hAnsi="Arial" w:cs="Arial"/>
        </w:rPr>
      </w:pPr>
      <w:r w:rsidRPr="00E66D0B">
        <w:rPr>
          <w:rFonts w:ascii="Arial" w:hAnsi="Arial" w:cs="Arial"/>
        </w:rPr>
        <w:t xml:space="preserve">Las cuotas que se presentan en este documento para </w:t>
      </w:r>
      <w:r>
        <w:rPr>
          <w:rFonts w:ascii="Arial" w:hAnsi="Arial" w:cs="Arial"/>
        </w:rPr>
        <w:t xml:space="preserve">determinar la estimación de los recursos por concepto de “Apoyo </w:t>
      </w:r>
      <w:r w:rsidR="003D1234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P</w:t>
      </w:r>
      <w:r w:rsidRPr="005546D7">
        <w:rPr>
          <w:rFonts w:ascii="Arial" w:hAnsi="Arial" w:cs="Arial"/>
        </w:rPr>
        <w:t>ernocta</w:t>
      </w:r>
      <w:r>
        <w:rPr>
          <w:rFonts w:ascii="Arial" w:hAnsi="Arial" w:cs="Arial"/>
        </w:rPr>
        <w:t xml:space="preserve">” </w:t>
      </w:r>
      <w:r w:rsidRPr="00E66D0B">
        <w:rPr>
          <w:rFonts w:ascii="Arial" w:hAnsi="Arial" w:cs="Arial"/>
        </w:rPr>
        <w:t>se aplicarán con base en lo establecido en la siguiente tabla:</w:t>
      </w:r>
    </w:p>
    <w:tbl>
      <w:tblPr>
        <w:tblW w:w="8450" w:type="dxa"/>
        <w:tblInd w:w="43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0"/>
      </w:tblGrid>
      <w:tr w:rsidR="00031D12" w:rsidRPr="00E96AE3" w:rsidTr="00DC780A">
        <w:trPr>
          <w:trHeight w:val="364"/>
        </w:trPr>
        <w:tc>
          <w:tcPr>
            <w:tcW w:w="8450" w:type="dxa"/>
            <w:shd w:val="clear" w:color="auto" w:fill="0F243E" w:themeFill="text2" w:themeFillShade="80"/>
            <w:vAlign w:val="center"/>
            <w:hideMark/>
          </w:tcPr>
          <w:p w:rsidR="0079616A" w:rsidRPr="00E96AE3" w:rsidRDefault="00E96AE3" w:rsidP="003D12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6AE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Tabla </w:t>
            </w:r>
            <w:r w:rsidR="008F66DF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="008B0447" w:rsidRPr="00E96AE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.5.Cuotas para determinar la estimación de los recursos por concepto de Apoyo </w:t>
            </w:r>
            <w:r w:rsidR="003D1234" w:rsidRPr="00E96AE3">
              <w:rPr>
                <w:rFonts w:ascii="Arial" w:hAnsi="Arial" w:cs="Arial"/>
                <w:b/>
                <w:bCs/>
                <w:sz w:val="18"/>
                <w:szCs w:val="18"/>
              </w:rPr>
              <w:t>para</w:t>
            </w:r>
            <w:r w:rsidR="008B0447" w:rsidRPr="00E96AE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Pernocta</w:t>
            </w:r>
          </w:p>
        </w:tc>
      </w:tr>
      <w:tr w:rsidR="008B0447" w:rsidRPr="00E96AE3" w:rsidTr="00DC780A">
        <w:trPr>
          <w:trHeight w:val="509"/>
        </w:trPr>
        <w:tc>
          <w:tcPr>
            <w:tcW w:w="8450" w:type="dxa"/>
            <w:vMerge w:val="restart"/>
            <w:shd w:val="clear" w:color="auto" w:fill="auto"/>
            <w:vAlign w:val="center"/>
            <w:hideMark/>
          </w:tcPr>
          <w:p w:rsidR="008B0447" w:rsidRPr="00E96AE3" w:rsidRDefault="008B0447" w:rsidP="00E96AE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6AE3">
              <w:rPr>
                <w:rFonts w:ascii="Arial" w:hAnsi="Arial" w:cs="Arial"/>
                <w:sz w:val="18"/>
                <w:szCs w:val="18"/>
              </w:rPr>
              <w:t>$ 7</w:t>
            </w:r>
            <w:r w:rsidR="003368A7" w:rsidRPr="00E96AE3">
              <w:rPr>
                <w:rFonts w:ascii="Arial" w:hAnsi="Arial" w:cs="Arial"/>
                <w:sz w:val="18"/>
                <w:szCs w:val="18"/>
              </w:rPr>
              <w:t>3</w:t>
            </w:r>
            <w:r w:rsidRPr="00E96AE3">
              <w:rPr>
                <w:rFonts w:ascii="Arial" w:hAnsi="Arial" w:cs="Arial"/>
                <w:sz w:val="18"/>
                <w:szCs w:val="18"/>
              </w:rPr>
              <w:t>0.00</w:t>
            </w:r>
          </w:p>
          <w:p w:rsidR="0079616A" w:rsidRPr="00E96AE3" w:rsidRDefault="008B0447" w:rsidP="00E96AE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96AE3">
              <w:rPr>
                <w:rFonts w:ascii="Arial" w:hAnsi="Arial" w:cs="Arial"/>
                <w:sz w:val="18"/>
                <w:szCs w:val="18"/>
              </w:rPr>
              <w:t xml:space="preserve">Aplicable a pernoctas en cualquier localidad de </w:t>
            </w:r>
            <w:r w:rsidR="003D1234" w:rsidRPr="00E96AE3">
              <w:rPr>
                <w:rFonts w:ascii="Arial" w:hAnsi="Arial" w:cs="Arial"/>
                <w:sz w:val="18"/>
                <w:szCs w:val="18"/>
              </w:rPr>
              <w:t xml:space="preserve">todos </w:t>
            </w:r>
            <w:r w:rsidR="00D84A10" w:rsidRPr="00E96AE3">
              <w:rPr>
                <w:rFonts w:ascii="Arial" w:hAnsi="Arial" w:cs="Arial"/>
                <w:sz w:val="18"/>
                <w:szCs w:val="18"/>
              </w:rPr>
              <w:t>los estados</w:t>
            </w:r>
          </w:p>
        </w:tc>
      </w:tr>
      <w:tr w:rsidR="0079616A" w:rsidRPr="009826EC" w:rsidTr="00DC780A">
        <w:trPr>
          <w:trHeight w:val="509"/>
        </w:trPr>
        <w:tc>
          <w:tcPr>
            <w:tcW w:w="8450" w:type="dxa"/>
            <w:vMerge/>
            <w:shd w:val="clear" w:color="auto" w:fill="auto"/>
            <w:vAlign w:val="center"/>
            <w:hideMark/>
          </w:tcPr>
          <w:p w:rsidR="0079616A" w:rsidRPr="008C086A" w:rsidRDefault="0079616A" w:rsidP="009826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</w:tr>
    </w:tbl>
    <w:p w:rsidR="00BA25FF" w:rsidRDefault="00BA25FF" w:rsidP="00541771">
      <w:pPr>
        <w:pStyle w:val="Prrafodelista"/>
        <w:jc w:val="both"/>
        <w:rPr>
          <w:rFonts w:ascii="Arial" w:hAnsi="Arial" w:cs="Arial"/>
        </w:rPr>
      </w:pPr>
    </w:p>
    <w:p w:rsidR="00494E2C" w:rsidRDefault="00494E2C" w:rsidP="00541771">
      <w:pPr>
        <w:pStyle w:val="Prrafodelista"/>
        <w:jc w:val="both"/>
        <w:rPr>
          <w:rFonts w:ascii="Arial" w:hAnsi="Arial" w:cs="Arial"/>
        </w:rPr>
      </w:pPr>
    </w:p>
    <w:p w:rsidR="003C5391" w:rsidRDefault="003C5391" w:rsidP="000838D8">
      <w:pPr>
        <w:pStyle w:val="Prrafodelista"/>
        <w:numPr>
          <w:ilvl w:val="1"/>
          <w:numId w:val="28"/>
        </w:numPr>
        <w:ind w:left="851"/>
        <w:jc w:val="both"/>
        <w:rPr>
          <w:rFonts w:ascii="Arial" w:hAnsi="Arial" w:cs="Arial"/>
        </w:rPr>
      </w:pPr>
      <w:r w:rsidRPr="005546D7">
        <w:rPr>
          <w:rFonts w:ascii="Arial" w:hAnsi="Arial" w:cs="Arial"/>
        </w:rPr>
        <w:t xml:space="preserve">Para la presentación de la estimación de </w:t>
      </w:r>
      <w:r w:rsidR="008B0447">
        <w:rPr>
          <w:rFonts w:ascii="Arial" w:hAnsi="Arial" w:cs="Arial"/>
        </w:rPr>
        <w:t>apoyos</w:t>
      </w:r>
      <w:r w:rsidRPr="005546D7">
        <w:rPr>
          <w:rFonts w:ascii="Arial" w:hAnsi="Arial" w:cs="Arial"/>
        </w:rPr>
        <w:t xml:space="preserve"> se uti</w:t>
      </w:r>
      <w:r w:rsidR="00CE554C" w:rsidRPr="005546D7">
        <w:rPr>
          <w:rFonts w:ascii="Arial" w:hAnsi="Arial" w:cs="Arial"/>
        </w:rPr>
        <w:t xml:space="preserve">lizará el </w:t>
      </w:r>
      <w:r w:rsidR="00CE554C" w:rsidRPr="008B0447">
        <w:rPr>
          <w:rFonts w:ascii="Arial" w:hAnsi="Arial" w:cs="Arial"/>
          <w:i/>
        </w:rPr>
        <w:t xml:space="preserve">“Formato </w:t>
      </w:r>
      <w:r w:rsidR="001E47B0">
        <w:rPr>
          <w:rFonts w:ascii="Arial" w:hAnsi="Arial" w:cs="Arial"/>
          <w:i/>
        </w:rPr>
        <w:t>2</w:t>
      </w:r>
      <w:r w:rsidR="00CE554C" w:rsidRPr="008B0447">
        <w:rPr>
          <w:rFonts w:ascii="Arial" w:hAnsi="Arial" w:cs="Arial"/>
          <w:i/>
        </w:rPr>
        <w:t>. Cuantificación de l</w:t>
      </w:r>
      <w:r w:rsidR="00686612" w:rsidRPr="008B0447">
        <w:rPr>
          <w:rFonts w:ascii="Arial" w:hAnsi="Arial" w:cs="Arial"/>
          <w:i/>
        </w:rPr>
        <w:t>os requerimientos financieros”</w:t>
      </w:r>
      <w:r w:rsidR="00686612">
        <w:rPr>
          <w:rFonts w:ascii="Arial" w:hAnsi="Arial" w:cs="Arial"/>
        </w:rPr>
        <w:t xml:space="preserve"> </w:t>
      </w:r>
      <w:r w:rsidR="002F38A3" w:rsidRPr="00E96AE3">
        <w:rPr>
          <w:rFonts w:ascii="Arial" w:hAnsi="Arial" w:cs="Arial"/>
        </w:rPr>
        <w:t>donde deberán incluirse a los</w:t>
      </w:r>
      <w:r w:rsidR="00D2605C" w:rsidRPr="00E96AE3">
        <w:rPr>
          <w:rFonts w:ascii="Arial" w:hAnsi="Arial" w:cs="Arial"/>
        </w:rPr>
        <w:t xml:space="preserve"> </w:t>
      </w:r>
      <w:r w:rsidR="00D2605C">
        <w:rPr>
          <w:rFonts w:ascii="Arial" w:hAnsi="Arial" w:cs="Arial"/>
        </w:rPr>
        <w:t xml:space="preserve">aplicadores </w:t>
      </w:r>
      <w:r w:rsidR="00CE4892">
        <w:rPr>
          <w:rFonts w:ascii="Arial" w:hAnsi="Arial" w:cs="Arial"/>
        </w:rPr>
        <w:t>p</w:t>
      </w:r>
      <w:r w:rsidR="00CE554C" w:rsidRPr="005546D7">
        <w:rPr>
          <w:rFonts w:ascii="Arial" w:hAnsi="Arial" w:cs="Arial"/>
        </w:rPr>
        <w:t>articipante</w:t>
      </w:r>
      <w:r w:rsidR="00D2605C">
        <w:rPr>
          <w:rFonts w:ascii="Arial" w:hAnsi="Arial" w:cs="Arial"/>
        </w:rPr>
        <w:t>s</w:t>
      </w:r>
      <w:r w:rsidR="00CE554C" w:rsidRPr="005546D7">
        <w:rPr>
          <w:rFonts w:ascii="Arial" w:hAnsi="Arial" w:cs="Arial"/>
        </w:rPr>
        <w:t xml:space="preserve"> por cada escuela </w:t>
      </w:r>
      <w:r w:rsidR="00686612">
        <w:rPr>
          <w:rFonts w:ascii="Arial" w:hAnsi="Arial" w:cs="Arial"/>
        </w:rPr>
        <w:t xml:space="preserve">considerada </w:t>
      </w:r>
      <w:r w:rsidR="00CE554C" w:rsidRPr="005546D7">
        <w:rPr>
          <w:rFonts w:ascii="Arial" w:hAnsi="Arial" w:cs="Arial"/>
        </w:rPr>
        <w:t>en la muestra</w:t>
      </w:r>
      <w:r w:rsidR="00D975CF">
        <w:rPr>
          <w:rFonts w:ascii="Arial" w:hAnsi="Arial" w:cs="Arial"/>
        </w:rPr>
        <w:t xml:space="preserve"> de la aplicación</w:t>
      </w:r>
      <w:r w:rsidR="00494E2C">
        <w:rPr>
          <w:rFonts w:ascii="Arial" w:hAnsi="Arial" w:cs="Arial"/>
        </w:rPr>
        <w:t>.</w:t>
      </w:r>
    </w:p>
    <w:p w:rsidR="008B0447" w:rsidRDefault="008B0447" w:rsidP="008B0447">
      <w:pPr>
        <w:pStyle w:val="Prrafodelista"/>
        <w:ind w:left="851"/>
        <w:jc w:val="both"/>
        <w:rPr>
          <w:rFonts w:ascii="Arial" w:hAnsi="Arial" w:cs="Arial"/>
        </w:rPr>
      </w:pPr>
    </w:p>
    <w:p w:rsidR="00CE554C" w:rsidRPr="005546D7" w:rsidRDefault="00C870AA" w:rsidP="000838D8">
      <w:pPr>
        <w:pStyle w:val="Prrafodelista"/>
        <w:numPr>
          <w:ilvl w:val="1"/>
          <w:numId w:val="28"/>
        </w:numPr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CE554C" w:rsidRPr="005546D7">
        <w:rPr>
          <w:rFonts w:ascii="Arial" w:hAnsi="Arial" w:cs="Arial"/>
        </w:rPr>
        <w:t xml:space="preserve">ara la estimación de los </w:t>
      </w:r>
      <w:r w:rsidR="008B0447">
        <w:rPr>
          <w:rFonts w:ascii="Arial" w:hAnsi="Arial" w:cs="Arial"/>
        </w:rPr>
        <w:t>apoyos,</w:t>
      </w:r>
      <w:r>
        <w:rPr>
          <w:rFonts w:ascii="Arial" w:hAnsi="Arial" w:cs="Arial"/>
        </w:rPr>
        <w:t xml:space="preserve"> las entidades participantes</w:t>
      </w:r>
      <w:r w:rsidR="00CE554C" w:rsidRPr="005546D7">
        <w:rPr>
          <w:rFonts w:ascii="Arial" w:hAnsi="Arial" w:cs="Arial"/>
        </w:rPr>
        <w:t xml:space="preserve"> </w:t>
      </w:r>
      <w:r w:rsidR="008B0447">
        <w:rPr>
          <w:rFonts w:ascii="Arial" w:hAnsi="Arial" w:cs="Arial"/>
        </w:rPr>
        <w:t>podrán</w:t>
      </w:r>
      <w:r w:rsidR="00CE554C" w:rsidRPr="005546D7">
        <w:rPr>
          <w:rFonts w:ascii="Arial" w:hAnsi="Arial" w:cs="Arial"/>
        </w:rPr>
        <w:t xml:space="preserve"> considerar </w:t>
      </w:r>
      <w:r w:rsidR="00307B7F">
        <w:rPr>
          <w:rFonts w:ascii="Arial" w:hAnsi="Arial" w:cs="Arial"/>
        </w:rPr>
        <w:t xml:space="preserve">uno o varios </w:t>
      </w:r>
      <w:r w:rsidR="00CE554C" w:rsidRPr="005546D7">
        <w:rPr>
          <w:rFonts w:ascii="Arial" w:hAnsi="Arial" w:cs="Arial"/>
        </w:rPr>
        <w:t>criterios</w:t>
      </w:r>
      <w:r w:rsidR="00307B7F">
        <w:rPr>
          <w:rFonts w:ascii="Arial" w:hAnsi="Arial" w:cs="Arial"/>
        </w:rPr>
        <w:t xml:space="preserve"> de la </w:t>
      </w:r>
      <w:r w:rsidR="00DC1F33">
        <w:rPr>
          <w:rFonts w:ascii="Arial" w:hAnsi="Arial" w:cs="Arial"/>
        </w:rPr>
        <w:t>siguiente tabla</w:t>
      </w:r>
      <w:r w:rsidR="00CE554C" w:rsidRPr="005546D7">
        <w:rPr>
          <w:rFonts w:ascii="Arial" w:hAnsi="Arial" w:cs="Arial"/>
        </w:rPr>
        <w:t>:</w:t>
      </w:r>
    </w:p>
    <w:p w:rsidR="00CE554C" w:rsidRPr="005546D7" w:rsidRDefault="00CE554C" w:rsidP="00CE554C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W w:w="5148" w:type="pct"/>
        <w:tblInd w:w="-5" w:type="dxa"/>
        <w:tblLook w:val="04A0" w:firstRow="1" w:lastRow="0" w:firstColumn="1" w:lastColumn="0" w:noHBand="0" w:noVBand="1"/>
      </w:tblPr>
      <w:tblGrid>
        <w:gridCol w:w="2478"/>
        <w:gridCol w:w="2483"/>
        <w:gridCol w:w="1970"/>
        <w:gridCol w:w="2158"/>
      </w:tblGrid>
      <w:tr w:rsidR="00302D57" w:rsidRPr="00B4215F" w:rsidTr="00F641EE">
        <w:trPr>
          <w:trHeight w:val="304"/>
          <w:tblHeader/>
        </w:trPr>
        <w:tc>
          <w:tcPr>
            <w:tcW w:w="1363" w:type="pct"/>
            <w:shd w:val="clear" w:color="auto" w:fill="0F243E" w:themeFill="text2" w:themeFillShade="80"/>
            <w:vAlign w:val="center"/>
          </w:tcPr>
          <w:p w:rsidR="00302D57" w:rsidRPr="00B4215F" w:rsidRDefault="00302D57" w:rsidP="00B4215F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215F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Participante voluntario</w:t>
            </w:r>
          </w:p>
        </w:tc>
        <w:tc>
          <w:tcPr>
            <w:tcW w:w="1366" w:type="pct"/>
            <w:shd w:val="clear" w:color="auto" w:fill="0F243E" w:themeFill="text2" w:themeFillShade="80"/>
            <w:vAlign w:val="center"/>
          </w:tcPr>
          <w:p w:rsidR="00302D57" w:rsidRPr="00B4215F" w:rsidRDefault="00302D57" w:rsidP="00B4215F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215F">
              <w:rPr>
                <w:rFonts w:ascii="Arial" w:hAnsi="Arial" w:cs="Arial"/>
                <w:b/>
                <w:bCs/>
                <w:sz w:val="18"/>
                <w:szCs w:val="18"/>
              </w:rPr>
              <w:t>Apoyo económico (únicamente externos)</w:t>
            </w:r>
          </w:p>
        </w:tc>
        <w:tc>
          <w:tcPr>
            <w:tcW w:w="1084" w:type="pct"/>
            <w:shd w:val="clear" w:color="auto" w:fill="0F243E" w:themeFill="text2" w:themeFillShade="80"/>
            <w:vAlign w:val="center"/>
          </w:tcPr>
          <w:p w:rsidR="00302D57" w:rsidRPr="00B4215F" w:rsidRDefault="00302D57" w:rsidP="00B4215F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215F">
              <w:rPr>
                <w:rFonts w:ascii="Arial" w:hAnsi="Arial" w:cs="Arial"/>
                <w:b/>
                <w:bCs/>
                <w:sz w:val="18"/>
                <w:szCs w:val="18"/>
              </w:rPr>
              <w:t>Traslado</w:t>
            </w:r>
          </w:p>
        </w:tc>
        <w:tc>
          <w:tcPr>
            <w:tcW w:w="1187" w:type="pct"/>
            <w:shd w:val="clear" w:color="auto" w:fill="0F243E" w:themeFill="text2" w:themeFillShade="80"/>
            <w:vAlign w:val="center"/>
          </w:tcPr>
          <w:p w:rsidR="00302D57" w:rsidRPr="00B4215F" w:rsidRDefault="00302D57" w:rsidP="00B4215F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215F">
              <w:rPr>
                <w:rFonts w:ascii="Arial" w:hAnsi="Arial" w:cs="Arial"/>
                <w:b/>
                <w:bCs/>
                <w:sz w:val="18"/>
                <w:szCs w:val="18"/>
              </w:rPr>
              <w:t>Pernocta</w:t>
            </w:r>
          </w:p>
        </w:tc>
      </w:tr>
      <w:tr w:rsidR="00302D57" w:rsidRPr="008B0447" w:rsidTr="00EB100D">
        <w:trPr>
          <w:trHeight w:val="554"/>
        </w:trPr>
        <w:tc>
          <w:tcPr>
            <w:tcW w:w="1363" w:type="pct"/>
            <w:vAlign w:val="center"/>
          </w:tcPr>
          <w:p w:rsidR="00302D57" w:rsidRPr="008B0447" w:rsidRDefault="00302D57" w:rsidP="0008604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B0447">
              <w:rPr>
                <w:rFonts w:ascii="Arial" w:hAnsi="Arial" w:cs="Arial"/>
                <w:sz w:val="18"/>
                <w:szCs w:val="18"/>
              </w:rPr>
              <w:t>Aplicadores</w:t>
            </w:r>
          </w:p>
        </w:tc>
        <w:tc>
          <w:tcPr>
            <w:tcW w:w="1366" w:type="pct"/>
            <w:vAlign w:val="center"/>
          </w:tcPr>
          <w:p w:rsidR="00302D57" w:rsidRPr="008B0447" w:rsidRDefault="004C7367" w:rsidP="00353A3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302D57">
              <w:rPr>
                <w:rFonts w:ascii="Arial" w:hAnsi="Arial" w:cs="Arial"/>
                <w:sz w:val="18"/>
                <w:szCs w:val="18"/>
              </w:rPr>
              <w:t xml:space="preserve"> día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="00302D57" w:rsidRPr="008B0447">
              <w:rPr>
                <w:rFonts w:ascii="Arial" w:hAnsi="Arial" w:cs="Arial"/>
                <w:sz w:val="18"/>
                <w:szCs w:val="18"/>
              </w:rPr>
              <w:t xml:space="preserve"> por concepto de capacitación recibida. </w:t>
            </w:r>
          </w:p>
          <w:p w:rsidR="00302D57" w:rsidRPr="008B0447" w:rsidRDefault="00302D57" w:rsidP="00353A35">
            <w:pPr>
              <w:rPr>
                <w:rFonts w:ascii="Arial" w:hAnsi="Arial" w:cs="Arial"/>
                <w:sz w:val="18"/>
                <w:szCs w:val="18"/>
              </w:rPr>
            </w:pPr>
          </w:p>
          <w:p w:rsidR="00302D57" w:rsidRDefault="004A0A6F" w:rsidP="00D4647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*2 o </w:t>
            </w:r>
            <w:r w:rsidR="00540927">
              <w:rPr>
                <w:rFonts w:ascii="Arial" w:hAnsi="Arial" w:cs="Arial"/>
                <w:sz w:val="18"/>
                <w:szCs w:val="18"/>
              </w:rPr>
              <w:t>3</w:t>
            </w:r>
            <w:r w:rsidR="005D76C3" w:rsidRPr="00F84CD3">
              <w:rPr>
                <w:rFonts w:ascii="Arial" w:hAnsi="Arial" w:cs="Arial"/>
                <w:sz w:val="18"/>
                <w:szCs w:val="18"/>
              </w:rPr>
              <w:t xml:space="preserve"> días</w:t>
            </w:r>
            <w:r w:rsidR="00302D57" w:rsidRPr="00F84CD3">
              <w:rPr>
                <w:rFonts w:ascii="Arial" w:hAnsi="Arial" w:cs="Arial"/>
                <w:sz w:val="18"/>
                <w:szCs w:val="18"/>
              </w:rPr>
              <w:t xml:space="preserve"> por aplicación</w:t>
            </w:r>
            <w:r w:rsidR="00AB446F" w:rsidRPr="00F84CD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de acuerdo con el número de grupos</w:t>
            </w:r>
            <w:r w:rsidR="00937529" w:rsidRPr="00F84CD3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8F66DF" w:rsidRDefault="008F66DF" w:rsidP="00D46479">
            <w:pPr>
              <w:rPr>
                <w:rFonts w:ascii="Arial" w:hAnsi="Arial" w:cs="Arial"/>
                <w:color w:val="4BACC6" w:themeColor="accent5"/>
                <w:sz w:val="18"/>
                <w:szCs w:val="18"/>
              </w:rPr>
            </w:pPr>
          </w:p>
          <w:p w:rsidR="008F66DF" w:rsidRPr="00EB100D" w:rsidRDefault="008F66DF" w:rsidP="00D46479">
            <w:pPr>
              <w:rPr>
                <w:rFonts w:ascii="Arial" w:hAnsi="Arial" w:cs="Arial"/>
                <w:color w:val="4BACC6" w:themeColor="accent5"/>
                <w:sz w:val="18"/>
                <w:szCs w:val="18"/>
              </w:rPr>
            </w:pPr>
            <w:r w:rsidRPr="008F66DF">
              <w:rPr>
                <w:rFonts w:ascii="Arial" w:hAnsi="Arial" w:cs="Arial"/>
                <w:sz w:val="18"/>
                <w:szCs w:val="18"/>
              </w:rPr>
              <w:t>De acuerdo con lo establecido en el punto 3.3 de este documento.</w:t>
            </w:r>
          </w:p>
        </w:tc>
        <w:tc>
          <w:tcPr>
            <w:tcW w:w="1084" w:type="pct"/>
            <w:vAlign w:val="center"/>
          </w:tcPr>
          <w:p w:rsidR="00302D57" w:rsidRPr="008B0447" w:rsidRDefault="00302D57" w:rsidP="0008604E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B0447">
              <w:rPr>
                <w:rFonts w:ascii="Arial" w:hAnsi="Arial" w:cs="Arial"/>
                <w:sz w:val="18"/>
                <w:szCs w:val="18"/>
              </w:rPr>
              <w:t xml:space="preserve">De acuerdo con lo establecido en el punto </w:t>
            </w:r>
            <w:r w:rsidR="009B299C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.4</w:t>
            </w:r>
            <w:r w:rsidR="00937529">
              <w:rPr>
                <w:rFonts w:ascii="Arial" w:hAnsi="Arial" w:cs="Arial"/>
                <w:sz w:val="18"/>
                <w:szCs w:val="18"/>
              </w:rPr>
              <w:t xml:space="preserve"> de este documento.</w:t>
            </w:r>
          </w:p>
        </w:tc>
        <w:tc>
          <w:tcPr>
            <w:tcW w:w="1187" w:type="pct"/>
            <w:vAlign w:val="center"/>
          </w:tcPr>
          <w:p w:rsidR="00302D57" w:rsidRPr="008B0447" w:rsidRDefault="00302D57" w:rsidP="00353A3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B0447">
              <w:rPr>
                <w:rFonts w:ascii="Arial" w:hAnsi="Arial" w:cs="Arial"/>
                <w:sz w:val="18"/>
                <w:szCs w:val="18"/>
              </w:rPr>
              <w:t xml:space="preserve">De acuerdo </w:t>
            </w:r>
            <w:r>
              <w:rPr>
                <w:rFonts w:ascii="Arial" w:hAnsi="Arial" w:cs="Arial"/>
                <w:sz w:val="18"/>
                <w:szCs w:val="18"/>
              </w:rPr>
              <w:t xml:space="preserve">con lo establecido en el punto </w:t>
            </w:r>
            <w:r w:rsidR="009B299C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.5</w:t>
            </w:r>
            <w:r w:rsidR="00937529">
              <w:rPr>
                <w:rFonts w:ascii="Arial" w:hAnsi="Arial" w:cs="Arial"/>
                <w:sz w:val="18"/>
                <w:szCs w:val="18"/>
              </w:rPr>
              <w:t xml:space="preserve"> de este documento.</w:t>
            </w:r>
          </w:p>
        </w:tc>
      </w:tr>
    </w:tbl>
    <w:p w:rsidR="003F3EE0" w:rsidRDefault="004A0A6F" w:rsidP="009B299C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*2 días para las escuelas de entre 1 y 3 grupos</w:t>
      </w:r>
    </w:p>
    <w:p w:rsidR="004A0A6F" w:rsidRDefault="004A0A6F" w:rsidP="004A0A6F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*3 días para las escuelas de 4 grupos</w:t>
      </w:r>
    </w:p>
    <w:p w:rsidR="004A0A6F" w:rsidRDefault="004A0A6F" w:rsidP="009B299C">
      <w:pPr>
        <w:spacing w:after="0" w:line="240" w:lineRule="auto"/>
        <w:jc w:val="both"/>
        <w:rPr>
          <w:rFonts w:ascii="Arial" w:hAnsi="Arial" w:cs="Arial"/>
        </w:rPr>
      </w:pPr>
    </w:p>
    <w:p w:rsidR="009B299C" w:rsidRDefault="009B299C" w:rsidP="009B299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Considere las siguientes pre</w:t>
      </w:r>
      <w:r w:rsidR="007E76E9">
        <w:rPr>
          <w:rFonts w:ascii="Arial" w:hAnsi="Arial" w:cs="Arial"/>
        </w:rPr>
        <w:t>ci</w:t>
      </w:r>
      <w:r>
        <w:rPr>
          <w:rFonts w:ascii="Arial" w:hAnsi="Arial" w:cs="Arial"/>
        </w:rPr>
        <w:t>siones</w:t>
      </w:r>
      <w:r w:rsidR="00D941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 caso de que sucedan:</w:t>
      </w:r>
    </w:p>
    <w:p w:rsidR="009B299C" w:rsidRDefault="009B299C" w:rsidP="009B299C">
      <w:pPr>
        <w:spacing w:after="0" w:line="240" w:lineRule="auto"/>
        <w:jc w:val="both"/>
        <w:rPr>
          <w:rFonts w:ascii="Arial" w:hAnsi="Arial" w:cs="Arial"/>
        </w:rPr>
      </w:pPr>
    </w:p>
    <w:p w:rsidR="009B299C" w:rsidRDefault="00D941EC" w:rsidP="009B299C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a</w:t>
      </w:r>
      <w:r w:rsidR="009B299C">
        <w:rPr>
          <w:rFonts w:ascii="Arial" w:hAnsi="Arial" w:cs="Arial"/>
        </w:rPr>
        <w:t>plicadores que atiendan a más de una escuela, sólo se les pagará una capacitación (2 días), más las aplicaciones realizadas (</w:t>
      </w:r>
      <w:r w:rsidR="004A0A6F" w:rsidRPr="004A0A6F">
        <w:rPr>
          <w:rFonts w:ascii="Arial" w:hAnsi="Arial" w:cs="Arial"/>
        </w:rPr>
        <w:t>*2 o 3 días por aplicación de acuerdo con el número de grupos</w:t>
      </w:r>
      <w:r w:rsidR="009B299C">
        <w:rPr>
          <w:rFonts w:ascii="Arial" w:hAnsi="Arial" w:cs="Arial"/>
        </w:rPr>
        <w:t>).</w:t>
      </w:r>
    </w:p>
    <w:p w:rsidR="00D941EC" w:rsidRDefault="00D941EC" w:rsidP="00D941EC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:rsidR="009B299C" w:rsidRDefault="00D941EC" w:rsidP="009B299C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</w:t>
      </w:r>
      <w:r w:rsidR="009B29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9B299C">
        <w:rPr>
          <w:rFonts w:ascii="Arial" w:hAnsi="Arial" w:cs="Arial"/>
        </w:rPr>
        <w:t>plicadores que</w:t>
      </w:r>
      <w:r>
        <w:rPr>
          <w:rFonts w:ascii="Arial" w:hAnsi="Arial" w:cs="Arial"/>
        </w:rPr>
        <w:t xml:space="preserve"> No realicen la aplicación por causa de ellos, no se le considerará apoyo económico alguno.</w:t>
      </w:r>
    </w:p>
    <w:p w:rsidR="00D941EC" w:rsidRPr="00D941EC" w:rsidRDefault="00D941EC" w:rsidP="00D941EC">
      <w:pPr>
        <w:spacing w:after="0" w:line="240" w:lineRule="auto"/>
        <w:jc w:val="both"/>
        <w:rPr>
          <w:rFonts w:ascii="Arial" w:hAnsi="Arial" w:cs="Arial"/>
        </w:rPr>
      </w:pPr>
    </w:p>
    <w:p w:rsidR="00D941EC" w:rsidRDefault="00D941EC" w:rsidP="009B299C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aplicadores que no apliquen por causa ajena a ellos, se les considerará el traslado y la pernocta en su caso, que utilizaron más su capacitación (2 días) y 0.5 días de apoyo económico.</w:t>
      </w:r>
    </w:p>
    <w:p w:rsidR="00D941EC" w:rsidRPr="00D941EC" w:rsidRDefault="00D941EC" w:rsidP="00D941EC">
      <w:pPr>
        <w:spacing w:after="0" w:line="240" w:lineRule="auto"/>
        <w:jc w:val="both"/>
        <w:rPr>
          <w:rFonts w:ascii="Arial" w:hAnsi="Arial" w:cs="Arial"/>
        </w:rPr>
      </w:pPr>
    </w:p>
    <w:p w:rsidR="00D941EC" w:rsidRPr="009B299C" w:rsidRDefault="00D941EC" w:rsidP="009B299C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casos diferentes a los anteriores, los deberá documentar y consultar con la</w:t>
      </w:r>
      <w:r w:rsidR="00EC1E6B">
        <w:rPr>
          <w:rFonts w:ascii="Arial" w:hAnsi="Arial" w:cs="Arial"/>
        </w:rPr>
        <w:t xml:space="preserve"> Coordinación Nacional correspondiente</w:t>
      </w:r>
      <w:r>
        <w:rPr>
          <w:rFonts w:ascii="Arial" w:hAnsi="Arial" w:cs="Arial"/>
        </w:rPr>
        <w:t>.</w:t>
      </w:r>
    </w:p>
    <w:p w:rsidR="00DF7AF5" w:rsidRDefault="00DF7AF5" w:rsidP="00D46479">
      <w:pPr>
        <w:spacing w:after="0" w:line="240" w:lineRule="auto"/>
        <w:jc w:val="both"/>
        <w:rPr>
          <w:rFonts w:ascii="Arial" w:hAnsi="Arial" w:cs="Arial"/>
          <w:sz w:val="18"/>
        </w:rPr>
      </w:pPr>
    </w:p>
    <w:p w:rsidR="00D46479" w:rsidRDefault="00D46479" w:rsidP="00D46479">
      <w:pPr>
        <w:spacing w:after="0" w:line="240" w:lineRule="auto"/>
        <w:jc w:val="both"/>
        <w:rPr>
          <w:rFonts w:ascii="Arial" w:hAnsi="Arial" w:cs="Arial"/>
          <w:sz w:val="18"/>
        </w:rPr>
      </w:pPr>
    </w:p>
    <w:p w:rsidR="000838D8" w:rsidRPr="000838D8" w:rsidRDefault="008B0447" w:rsidP="000838D8">
      <w:pPr>
        <w:pStyle w:val="Prrafodelista"/>
        <w:numPr>
          <w:ilvl w:val="0"/>
          <w:numId w:val="28"/>
        </w:numPr>
        <w:ind w:left="426"/>
        <w:jc w:val="both"/>
        <w:rPr>
          <w:rFonts w:ascii="Arial" w:hAnsi="Arial" w:cs="Arial"/>
          <w:b/>
          <w:smallCaps/>
        </w:rPr>
      </w:pPr>
      <w:r w:rsidRPr="008B0447">
        <w:rPr>
          <w:rFonts w:ascii="Arial" w:hAnsi="Arial" w:cs="Arial"/>
          <w:b/>
          <w:smallCaps/>
        </w:rPr>
        <w:t>Mecanismo de transferencias de los apoyos</w:t>
      </w:r>
    </w:p>
    <w:p w:rsidR="008B0447" w:rsidRDefault="008B0447" w:rsidP="008B0447">
      <w:pPr>
        <w:pStyle w:val="Prrafodelista"/>
        <w:ind w:left="426"/>
        <w:jc w:val="both"/>
        <w:rPr>
          <w:rFonts w:ascii="Arial" w:hAnsi="Arial" w:cs="Arial"/>
          <w:b/>
          <w:smallCaps/>
        </w:rPr>
      </w:pPr>
    </w:p>
    <w:p w:rsidR="005546D7" w:rsidRDefault="002A6483" w:rsidP="000838D8">
      <w:pPr>
        <w:pStyle w:val="Prrafodelista"/>
        <w:numPr>
          <w:ilvl w:val="1"/>
          <w:numId w:val="28"/>
        </w:numPr>
        <w:jc w:val="both"/>
        <w:rPr>
          <w:rFonts w:ascii="Arial" w:hAnsi="Arial" w:cs="Arial"/>
        </w:rPr>
      </w:pPr>
      <w:r w:rsidRPr="000838D8">
        <w:rPr>
          <w:rFonts w:ascii="Arial" w:hAnsi="Arial" w:cs="Arial"/>
        </w:rPr>
        <w:t xml:space="preserve">El </w:t>
      </w:r>
      <w:r w:rsidR="00374ABC" w:rsidRPr="000838D8">
        <w:rPr>
          <w:rFonts w:ascii="Arial" w:hAnsi="Arial" w:cs="Arial"/>
        </w:rPr>
        <w:t>apoyo</w:t>
      </w:r>
      <w:r w:rsidRPr="000838D8">
        <w:rPr>
          <w:rFonts w:ascii="Arial" w:hAnsi="Arial" w:cs="Arial"/>
        </w:rPr>
        <w:t xml:space="preserve"> a los </w:t>
      </w:r>
      <w:r w:rsidR="00F922B1" w:rsidRPr="000838D8">
        <w:rPr>
          <w:rFonts w:ascii="Arial" w:hAnsi="Arial" w:cs="Arial"/>
        </w:rPr>
        <w:t xml:space="preserve">aplicadores </w:t>
      </w:r>
      <w:r w:rsidRPr="000838D8">
        <w:rPr>
          <w:rFonts w:ascii="Arial" w:hAnsi="Arial" w:cs="Arial"/>
        </w:rPr>
        <w:t>que colaboran con las</w:t>
      </w:r>
      <w:r w:rsidR="00374ABC" w:rsidRPr="000838D8">
        <w:rPr>
          <w:rFonts w:ascii="Arial" w:hAnsi="Arial" w:cs="Arial"/>
        </w:rPr>
        <w:t xml:space="preserve"> </w:t>
      </w:r>
      <w:r w:rsidR="00EB100D" w:rsidRPr="000838D8">
        <w:rPr>
          <w:rFonts w:ascii="Arial" w:hAnsi="Arial" w:cs="Arial"/>
        </w:rPr>
        <w:t>entidades</w:t>
      </w:r>
      <w:r w:rsidR="00374ABC" w:rsidRPr="000838D8">
        <w:rPr>
          <w:rFonts w:ascii="Arial" w:hAnsi="Arial" w:cs="Arial"/>
        </w:rPr>
        <w:t xml:space="preserve"> </w:t>
      </w:r>
      <w:r w:rsidR="005546D7" w:rsidRPr="000838D8">
        <w:rPr>
          <w:rFonts w:ascii="Arial" w:hAnsi="Arial" w:cs="Arial"/>
        </w:rPr>
        <w:t xml:space="preserve">se efectuará por medio de giros telegráficos </w:t>
      </w:r>
      <w:r w:rsidR="00686612" w:rsidRPr="000838D8">
        <w:rPr>
          <w:rFonts w:ascii="Arial" w:hAnsi="Arial" w:cs="Arial"/>
        </w:rPr>
        <w:t xml:space="preserve">a través de la </w:t>
      </w:r>
      <w:r w:rsidR="006F42B0" w:rsidRPr="000838D8">
        <w:rPr>
          <w:rFonts w:ascii="Arial" w:hAnsi="Arial" w:cs="Arial"/>
        </w:rPr>
        <w:t xml:space="preserve">institución </w:t>
      </w:r>
      <w:r w:rsidRPr="000838D8">
        <w:rPr>
          <w:rFonts w:ascii="Arial" w:hAnsi="Arial" w:cs="Arial"/>
        </w:rPr>
        <w:t>Telecomunicaciones de México (</w:t>
      </w:r>
      <w:proofErr w:type="spellStart"/>
      <w:r w:rsidR="00457A47">
        <w:rPr>
          <w:rFonts w:ascii="Arial" w:hAnsi="Arial" w:cs="Arial"/>
        </w:rPr>
        <w:t>Telecomm</w:t>
      </w:r>
      <w:proofErr w:type="spellEnd"/>
      <w:r w:rsidRPr="000838D8">
        <w:rPr>
          <w:rFonts w:ascii="Arial" w:hAnsi="Arial" w:cs="Arial"/>
        </w:rPr>
        <w:t>)</w:t>
      </w:r>
      <w:r w:rsidR="006F42B0" w:rsidRPr="000838D8">
        <w:rPr>
          <w:rFonts w:ascii="Arial" w:hAnsi="Arial" w:cs="Arial"/>
        </w:rPr>
        <w:t>.</w:t>
      </w:r>
    </w:p>
    <w:p w:rsidR="000838D8" w:rsidRDefault="000838D8" w:rsidP="000838D8">
      <w:pPr>
        <w:pStyle w:val="Prrafodelista"/>
        <w:ind w:left="360"/>
        <w:jc w:val="both"/>
        <w:rPr>
          <w:rFonts w:ascii="Arial" w:hAnsi="Arial" w:cs="Arial"/>
        </w:rPr>
      </w:pPr>
    </w:p>
    <w:p w:rsidR="000838D8" w:rsidRDefault="00375D1F" w:rsidP="00912D54">
      <w:pPr>
        <w:pStyle w:val="Prrafodelista"/>
        <w:numPr>
          <w:ilvl w:val="1"/>
          <w:numId w:val="28"/>
        </w:numPr>
        <w:jc w:val="both"/>
        <w:rPr>
          <w:rFonts w:ascii="Arial" w:hAnsi="Arial" w:cs="Arial"/>
        </w:rPr>
      </w:pPr>
      <w:r w:rsidRPr="000838D8">
        <w:rPr>
          <w:rFonts w:ascii="Arial" w:hAnsi="Arial" w:cs="Arial"/>
        </w:rPr>
        <w:t xml:space="preserve">Para que los </w:t>
      </w:r>
      <w:r>
        <w:rPr>
          <w:rFonts w:ascii="Arial" w:hAnsi="Arial" w:cs="Arial"/>
        </w:rPr>
        <w:t>apoyos</w:t>
      </w:r>
      <w:r w:rsidRPr="000838D8">
        <w:rPr>
          <w:rFonts w:ascii="Arial" w:hAnsi="Arial" w:cs="Arial"/>
        </w:rPr>
        <w:t xml:space="preserve"> estén disponibles en las oficinas pagadoras oportunamente, será imprescindible</w:t>
      </w:r>
      <w:r>
        <w:rPr>
          <w:rFonts w:ascii="Arial" w:hAnsi="Arial" w:cs="Arial"/>
        </w:rPr>
        <w:t xml:space="preserve"> enviar vía correo electrónico al personal de la Dirección de Recursos Financieros (DRF) lo siguiente:</w:t>
      </w:r>
    </w:p>
    <w:p w:rsidR="00375D1F" w:rsidRDefault="00375D1F" w:rsidP="007D686A">
      <w:pPr>
        <w:pStyle w:val="Prrafodelista"/>
        <w:ind w:left="360"/>
        <w:jc w:val="both"/>
        <w:rPr>
          <w:rFonts w:ascii="Arial" w:hAnsi="Arial" w:cs="Arial"/>
        </w:rPr>
      </w:pPr>
    </w:p>
    <w:p w:rsidR="00375D1F" w:rsidRDefault="00375D1F" w:rsidP="00912D54">
      <w:pPr>
        <w:pStyle w:val="Prrafodelista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8F1D64">
        <w:rPr>
          <w:rFonts w:ascii="Arial" w:hAnsi="Arial" w:cs="Arial"/>
        </w:rPr>
        <w:t>olicitud de pago registrada en el Sistema Integral Financiero (SIF)</w:t>
      </w:r>
      <w:r>
        <w:rPr>
          <w:rFonts w:ascii="Arial" w:hAnsi="Arial" w:cs="Arial"/>
        </w:rPr>
        <w:t xml:space="preserve"> por </w:t>
      </w:r>
      <w:r w:rsidR="0039043F">
        <w:rPr>
          <w:rFonts w:ascii="Arial" w:hAnsi="Arial" w:cs="Arial"/>
        </w:rPr>
        <w:t>parte del Coordinador Estatal</w:t>
      </w:r>
      <w:r w:rsidR="00D60A32">
        <w:rPr>
          <w:rFonts w:ascii="Arial" w:hAnsi="Arial" w:cs="Arial"/>
        </w:rPr>
        <w:t xml:space="preserve"> de la entidad</w:t>
      </w:r>
      <w:r>
        <w:rPr>
          <w:rFonts w:ascii="Arial" w:hAnsi="Arial" w:cs="Arial"/>
        </w:rPr>
        <w:t xml:space="preserve">, debidamente firmada, y </w:t>
      </w:r>
      <w:r w:rsidR="0039043F">
        <w:rPr>
          <w:rFonts w:ascii="Arial" w:hAnsi="Arial" w:cs="Arial"/>
        </w:rPr>
        <w:t>requisitada.</w:t>
      </w:r>
      <w:bookmarkStart w:id="0" w:name="_GoBack"/>
      <w:bookmarkEnd w:id="0"/>
    </w:p>
    <w:p w:rsidR="00375D1F" w:rsidRDefault="00375D1F" w:rsidP="00912D54">
      <w:pPr>
        <w:pStyle w:val="Prrafodelista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0838D8">
        <w:rPr>
          <w:rFonts w:ascii="Arial" w:hAnsi="Arial" w:cs="Arial"/>
        </w:rPr>
        <w:t>ormato F2</w:t>
      </w:r>
      <w:r>
        <w:rPr>
          <w:rFonts w:ascii="Arial" w:hAnsi="Arial" w:cs="Arial"/>
        </w:rPr>
        <w:t xml:space="preserve"> con la i</w:t>
      </w:r>
      <w:r w:rsidRPr="000838D8">
        <w:rPr>
          <w:rFonts w:ascii="Arial" w:hAnsi="Arial" w:cs="Arial"/>
        </w:rPr>
        <w:t>nformación completa de los participantes</w:t>
      </w:r>
      <w:r>
        <w:rPr>
          <w:rFonts w:ascii="Arial" w:hAnsi="Arial" w:cs="Arial"/>
        </w:rPr>
        <w:t>, los apoyos</w:t>
      </w:r>
      <w:r w:rsidRPr="000838D8">
        <w:rPr>
          <w:rFonts w:ascii="Arial" w:hAnsi="Arial" w:cs="Arial"/>
        </w:rPr>
        <w:t xml:space="preserve"> y las oficinas</w:t>
      </w:r>
      <w:r>
        <w:rPr>
          <w:rFonts w:ascii="Arial" w:hAnsi="Arial" w:cs="Arial"/>
        </w:rPr>
        <w:t xml:space="preserve"> pagadoras</w:t>
      </w:r>
      <w:r w:rsidRPr="000838D8">
        <w:rPr>
          <w:rFonts w:ascii="Arial" w:hAnsi="Arial" w:cs="Arial"/>
        </w:rPr>
        <w:t xml:space="preserve"> que les correspondan</w:t>
      </w:r>
      <w:r>
        <w:rPr>
          <w:rFonts w:ascii="Arial" w:hAnsi="Arial" w:cs="Arial"/>
        </w:rPr>
        <w:t>.</w:t>
      </w:r>
    </w:p>
    <w:p w:rsidR="00375D1F" w:rsidRDefault="00375D1F" w:rsidP="007D686A">
      <w:pPr>
        <w:pStyle w:val="Prrafodelista"/>
        <w:ind w:left="360"/>
        <w:jc w:val="both"/>
        <w:rPr>
          <w:rFonts w:ascii="Arial" w:hAnsi="Arial" w:cs="Arial"/>
        </w:rPr>
      </w:pPr>
    </w:p>
    <w:p w:rsidR="00375D1F" w:rsidRDefault="00375D1F" w:rsidP="00457A47">
      <w:pPr>
        <w:pStyle w:val="Prrafode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Ambos documentos (solicitud de pago en formato PDF y Formato F2 en Excel) deberán ser </w:t>
      </w:r>
      <w:r w:rsidRPr="0047792E">
        <w:rPr>
          <w:rFonts w:ascii="Arial" w:hAnsi="Arial" w:cs="Arial"/>
        </w:rPr>
        <w:t>remitid</w:t>
      </w:r>
      <w:r>
        <w:rPr>
          <w:rFonts w:ascii="Arial" w:hAnsi="Arial" w:cs="Arial"/>
        </w:rPr>
        <w:t>os</w:t>
      </w:r>
      <w:r w:rsidRPr="004779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</w:t>
      </w:r>
      <w:r w:rsidRPr="004779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el mismo </w:t>
      </w:r>
      <w:r w:rsidRPr="0047792E">
        <w:rPr>
          <w:rFonts w:ascii="Arial" w:hAnsi="Arial" w:cs="Arial"/>
        </w:rPr>
        <w:t xml:space="preserve">correo electrónico a la </w:t>
      </w:r>
      <w:r>
        <w:rPr>
          <w:rFonts w:ascii="Arial" w:hAnsi="Arial" w:cs="Arial"/>
        </w:rPr>
        <w:t>D</w:t>
      </w:r>
      <w:r w:rsidRPr="0047792E">
        <w:rPr>
          <w:rFonts w:ascii="Arial" w:hAnsi="Arial" w:cs="Arial"/>
        </w:rPr>
        <w:t>RF, con un mínimo de 5 días hábiles antes del día de cobro de los aplicadores</w:t>
      </w:r>
      <w:r>
        <w:rPr>
          <w:rFonts w:ascii="Arial" w:hAnsi="Arial" w:cs="Arial"/>
        </w:rPr>
        <w:t>, a las siguientes direcciones electrónicas:</w:t>
      </w:r>
    </w:p>
    <w:p w:rsidR="00457A47" w:rsidRPr="00457A47" w:rsidRDefault="00457A47" w:rsidP="00457A47">
      <w:pPr>
        <w:pStyle w:val="Prrafodelista"/>
        <w:ind w:left="360"/>
        <w:jc w:val="both"/>
        <w:rPr>
          <w:rFonts w:ascii="Arial" w:hAnsi="Arial" w:cs="Arial"/>
        </w:rPr>
      </w:pPr>
    </w:p>
    <w:tbl>
      <w:tblPr>
        <w:tblStyle w:val="Tabladelista3"/>
        <w:tblW w:w="8784" w:type="dxa"/>
        <w:tblLook w:val="04A0" w:firstRow="1" w:lastRow="0" w:firstColumn="1" w:lastColumn="0" w:noHBand="0" w:noVBand="1"/>
      </w:tblPr>
      <w:tblGrid>
        <w:gridCol w:w="2437"/>
        <w:gridCol w:w="3093"/>
        <w:gridCol w:w="2177"/>
        <w:gridCol w:w="1077"/>
      </w:tblGrid>
      <w:tr w:rsidR="00375D1F" w:rsidRPr="00375D1F" w:rsidTr="00375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:rsidR="00375D1F" w:rsidRPr="00912D54" w:rsidRDefault="00375D1F" w:rsidP="00FA657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2D54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3260" w:type="dxa"/>
          </w:tcPr>
          <w:p w:rsidR="00375D1F" w:rsidRPr="00912D54" w:rsidRDefault="00375D1F" w:rsidP="00FA657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12D54">
              <w:rPr>
                <w:rFonts w:ascii="Arial" w:hAnsi="Arial" w:cs="Arial"/>
                <w:sz w:val="18"/>
                <w:szCs w:val="18"/>
              </w:rPr>
              <w:t>Cargo</w:t>
            </w:r>
          </w:p>
        </w:tc>
        <w:tc>
          <w:tcPr>
            <w:tcW w:w="2248" w:type="dxa"/>
          </w:tcPr>
          <w:p w:rsidR="00375D1F" w:rsidRPr="00912D54" w:rsidRDefault="00375D1F" w:rsidP="00FA657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12D54">
              <w:rPr>
                <w:rFonts w:ascii="Arial" w:hAnsi="Arial" w:cs="Arial"/>
                <w:sz w:val="18"/>
                <w:szCs w:val="18"/>
              </w:rPr>
              <w:t>Correo electrónico</w:t>
            </w:r>
          </w:p>
        </w:tc>
        <w:tc>
          <w:tcPr>
            <w:tcW w:w="729" w:type="dxa"/>
          </w:tcPr>
          <w:p w:rsidR="00375D1F" w:rsidRPr="00912D54" w:rsidRDefault="00375D1F" w:rsidP="00FA657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12D54">
              <w:rPr>
                <w:rFonts w:ascii="Arial" w:hAnsi="Arial" w:cs="Arial"/>
                <w:sz w:val="18"/>
                <w:szCs w:val="18"/>
              </w:rPr>
              <w:t>Extensión</w:t>
            </w:r>
          </w:p>
        </w:tc>
      </w:tr>
      <w:tr w:rsidR="00375D1F" w:rsidRPr="00375D1F" w:rsidTr="0037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75D1F" w:rsidRPr="00912D54" w:rsidRDefault="00375D1F" w:rsidP="00FA6572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375D1F" w:rsidRPr="00D60A32" w:rsidRDefault="00375D1F" w:rsidP="00D60A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8" w:type="dxa"/>
          </w:tcPr>
          <w:p w:rsidR="00375D1F" w:rsidRPr="00D60A32" w:rsidRDefault="00375D1F" w:rsidP="00D60A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9" w:type="dxa"/>
          </w:tcPr>
          <w:p w:rsidR="00375D1F" w:rsidRPr="00912D54" w:rsidRDefault="00375D1F" w:rsidP="00FA657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5D1F" w:rsidRPr="00375D1F" w:rsidTr="0037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75D1F" w:rsidRPr="00912D54" w:rsidRDefault="00375D1F" w:rsidP="007D686A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375D1F" w:rsidRPr="00912D54" w:rsidRDefault="00375D1F" w:rsidP="00FA657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8" w:type="dxa"/>
          </w:tcPr>
          <w:p w:rsidR="00375D1F" w:rsidRPr="00912D54" w:rsidRDefault="00375D1F" w:rsidP="00FA657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9" w:type="dxa"/>
          </w:tcPr>
          <w:p w:rsidR="00375D1F" w:rsidRPr="00912D54" w:rsidRDefault="00375D1F" w:rsidP="00FA657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75D1F" w:rsidRDefault="00375D1F" w:rsidP="007D686A">
      <w:pPr>
        <w:pStyle w:val="Prrafodelista"/>
        <w:ind w:left="360"/>
        <w:jc w:val="both"/>
        <w:rPr>
          <w:rFonts w:ascii="Arial" w:hAnsi="Arial" w:cs="Arial"/>
        </w:rPr>
      </w:pPr>
    </w:p>
    <w:p w:rsidR="00375D1F" w:rsidRPr="00912D54" w:rsidRDefault="00375D1F" w:rsidP="007D686A">
      <w:pPr>
        <w:pStyle w:val="Prrafodelista"/>
        <w:ind w:left="360"/>
        <w:jc w:val="both"/>
        <w:rPr>
          <w:rFonts w:ascii="Arial" w:hAnsi="Arial" w:cs="Arial"/>
        </w:rPr>
      </w:pPr>
    </w:p>
    <w:p w:rsidR="006F42B0" w:rsidRDefault="006F42B0" w:rsidP="000838D8">
      <w:pPr>
        <w:pStyle w:val="Prrafodelista"/>
        <w:numPr>
          <w:ilvl w:val="1"/>
          <w:numId w:val="28"/>
        </w:numPr>
        <w:jc w:val="both"/>
        <w:rPr>
          <w:rFonts w:ascii="Arial" w:hAnsi="Arial" w:cs="Arial"/>
        </w:rPr>
      </w:pPr>
      <w:r w:rsidRPr="000838D8">
        <w:rPr>
          <w:rFonts w:ascii="Arial" w:hAnsi="Arial" w:cs="Arial"/>
        </w:rPr>
        <w:t xml:space="preserve">Los aplicadores contarán con </w:t>
      </w:r>
      <w:r w:rsidR="00F641EE" w:rsidRPr="000838D8">
        <w:rPr>
          <w:rFonts w:ascii="Arial" w:hAnsi="Arial" w:cs="Arial"/>
        </w:rPr>
        <w:t>21</w:t>
      </w:r>
      <w:r w:rsidRPr="000838D8">
        <w:rPr>
          <w:rFonts w:ascii="Arial" w:hAnsi="Arial" w:cs="Arial"/>
        </w:rPr>
        <w:t xml:space="preserve"> días naturales contados a partir de la notificación que re</w:t>
      </w:r>
      <w:r w:rsidR="00D60A32">
        <w:rPr>
          <w:rFonts w:ascii="Arial" w:hAnsi="Arial" w:cs="Arial"/>
        </w:rPr>
        <w:t>alice el personal adscrito a entidad</w:t>
      </w:r>
      <w:r w:rsidR="00D84A10" w:rsidRPr="000838D8">
        <w:rPr>
          <w:rFonts w:ascii="Arial" w:hAnsi="Arial" w:cs="Arial"/>
        </w:rPr>
        <w:t xml:space="preserve"> </w:t>
      </w:r>
      <w:r w:rsidR="003D1234" w:rsidRPr="000838D8">
        <w:rPr>
          <w:rFonts w:ascii="Arial" w:hAnsi="Arial" w:cs="Arial"/>
        </w:rPr>
        <w:t xml:space="preserve">para acudir a las oficinas de </w:t>
      </w:r>
      <w:proofErr w:type="spellStart"/>
      <w:r w:rsidR="00457A47">
        <w:rPr>
          <w:rFonts w:ascii="Arial" w:hAnsi="Arial" w:cs="Arial"/>
        </w:rPr>
        <w:t>Telecomm</w:t>
      </w:r>
      <w:proofErr w:type="spellEnd"/>
      <w:r w:rsidR="003D1234" w:rsidRPr="000838D8">
        <w:rPr>
          <w:rFonts w:ascii="Arial" w:hAnsi="Arial" w:cs="Arial"/>
        </w:rPr>
        <w:t xml:space="preserve"> y solicitar su cobro.</w:t>
      </w:r>
    </w:p>
    <w:p w:rsidR="000838D8" w:rsidRDefault="000838D8" w:rsidP="000838D8">
      <w:pPr>
        <w:pStyle w:val="Prrafodelista"/>
        <w:ind w:left="360"/>
        <w:jc w:val="both"/>
        <w:rPr>
          <w:rFonts w:ascii="Arial" w:hAnsi="Arial" w:cs="Arial"/>
        </w:rPr>
      </w:pPr>
    </w:p>
    <w:p w:rsidR="00F641EE" w:rsidRDefault="00F641EE" w:rsidP="000838D8">
      <w:pPr>
        <w:pStyle w:val="Prrafodelista"/>
        <w:numPr>
          <w:ilvl w:val="1"/>
          <w:numId w:val="28"/>
        </w:numPr>
        <w:jc w:val="both"/>
        <w:rPr>
          <w:rFonts w:ascii="Arial" w:hAnsi="Arial" w:cs="Arial"/>
        </w:rPr>
      </w:pPr>
      <w:r w:rsidRPr="000838D8">
        <w:rPr>
          <w:rFonts w:ascii="Arial" w:hAnsi="Arial" w:cs="Arial"/>
        </w:rPr>
        <w:t xml:space="preserve">En caso de que los participantes no cobren en tiempo su apoyo </w:t>
      </w:r>
      <w:r w:rsidR="00ED23BF">
        <w:rPr>
          <w:rFonts w:ascii="Arial" w:hAnsi="Arial" w:cs="Arial"/>
        </w:rPr>
        <w:t xml:space="preserve">financiero </w:t>
      </w:r>
      <w:r w:rsidRPr="000838D8">
        <w:rPr>
          <w:rFonts w:ascii="Arial" w:hAnsi="Arial" w:cs="Arial"/>
        </w:rPr>
        <w:t xml:space="preserve">procederá sólo </w:t>
      </w:r>
      <w:r w:rsidR="00267250" w:rsidRPr="000838D8">
        <w:rPr>
          <w:rFonts w:ascii="Arial" w:hAnsi="Arial" w:cs="Arial"/>
        </w:rPr>
        <w:t>una</w:t>
      </w:r>
      <w:r w:rsidRPr="000838D8">
        <w:rPr>
          <w:rFonts w:ascii="Arial" w:hAnsi="Arial" w:cs="Arial"/>
        </w:rPr>
        <w:t xml:space="preserve"> </w:t>
      </w:r>
      <w:r w:rsidR="00267250" w:rsidRPr="000838D8">
        <w:rPr>
          <w:rFonts w:ascii="Arial" w:hAnsi="Arial" w:cs="Arial"/>
        </w:rPr>
        <w:t>reinstalación</w:t>
      </w:r>
      <w:r w:rsidRPr="000838D8">
        <w:rPr>
          <w:rFonts w:ascii="Arial" w:hAnsi="Arial" w:cs="Arial"/>
        </w:rPr>
        <w:t xml:space="preserve"> del recurso, la</w:t>
      </w:r>
      <w:r w:rsidR="00EE3BD4" w:rsidRPr="000838D8">
        <w:rPr>
          <w:rFonts w:ascii="Arial" w:hAnsi="Arial" w:cs="Arial"/>
        </w:rPr>
        <w:t>s</w:t>
      </w:r>
      <w:r w:rsidRPr="000838D8">
        <w:rPr>
          <w:rFonts w:ascii="Arial" w:hAnsi="Arial" w:cs="Arial"/>
        </w:rPr>
        <w:t xml:space="preserve"> cual</w:t>
      </w:r>
      <w:r w:rsidR="00EE3BD4" w:rsidRPr="000838D8">
        <w:rPr>
          <w:rFonts w:ascii="Arial" w:hAnsi="Arial" w:cs="Arial"/>
        </w:rPr>
        <w:t>es</w:t>
      </w:r>
      <w:r w:rsidRPr="000838D8">
        <w:rPr>
          <w:rFonts w:ascii="Arial" w:hAnsi="Arial" w:cs="Arial"/>
        </w:rPr>
        <w:t xml:space="preserve"> se realizará</w:t>
      </w:r>
      <w:r w:rsidR="00EE3BD4" w:rsidRPr="000838D8">
        <w:rPr>
          <w:rFonts w:ascii="Arial" w:hAnsi="Arial" w:cs="Arial"/>
        </w:rPr>
        <w:t>n</w:t>
      </w:r>
      <w:r w:rsidR="00D60A32">
        <w:rPr>
          <w:rFonts w:ascii="Arial" w:hAnsi="Arial" w:cs="Arial"/>
        </w:rPr>
        <w:t xml:space="preserve"> una vez que la DRF </w:t>
      </w:r>
      <w:r w:rsidR="00D60A32" w:rsidRPr="000838D8">
        <w:rPr>
          <w:rFonts w:ascii="Arial" w:hAnsi="Arial" w:cs="Arial"/>
        </w:rPr>
        <w:t>corrobore</w:t>
      </w:r>
      <w:r w:rsidRPr="000838D8">
        <w:rPr>
          <w:rFonts w:ascii="Arial" w:hAnsi="Arial" w:cs="Arial"/>
        </w:rPr>
        <w:t xml:space="preserve"> que el apoyo no fue cobrado y que el recurso fue depositad</w:t>
      </w:r>
      <w:r w:rsidR="00133CF5">
        <w:rPr>
          <w:rFonts w:ascii="Arial" w:hAnsi="Arial" w:cs="Arial"/>
        </w:rPr>
        <w:t>o en la cuenta bancaria de la UNAM</w:t>
      </w:r>
      <w:r w:rsidRPr="000838D8">
        <w:rPr>
          <w:rFonts w:ascii="Arial" w:hAnsi="Arial" w:cs="Arial"/>
        </w:rPr>
        <w:t xml:space="preserve"> por parte de </w:t>
      </w:r>
      <w:proofErr w:type="spellStart"/>
      <w:r w:rsidR="00457A47">
        <w:rPr>
          <w:rFonts w:ascii="Arial" w:hAnsi="Arial" w:cs="Arial"/>
        </w:rPr>
        <w:t>Telecomm</w:t>
      </w:r>
      <w:proofErr w:type="spellEnd"/>
      <w:r w:rsidRPr="000838D8">
        <w:rPr>
          <w:rFonts w:ascii="Arial" w:hAnsi="Arial" w:cs="Arial"/>
        </w:rPr>
        <w:t>.</w:t>
      </w:r>
    </w:p>
    <w:p w:rsidR="000838D8" w:rsidRPr="000838D8" w:rsidRDefault="000838D8" w:rsidP="000838D8">
      <w:pPr>
        <w:pStyle w:val="Prrafodelista"/>
        <w:rPr>
          <w:rFonts w:ascii="Arial" w:hAnsi="Arial" w:cs="Arial"/>
        </w:rPr>
      </w:pPr>
    </w:p>
    <w:p w:rsidR="002C7100" w:rsidRPr="000838D8" w:rsidRDefault="003D1234" w:rsidP="000838D8">
      <w:pPr>
        <w:pStyle w:val="Prrafodelista"/>
        <w:numPr>
          <w:ilvl w:val="1"/>
          <w:numId w:val="28"/>
        </w:numPr>
        <w:jc w:val="both"/>
        <w:rPr>
          <w:rFonts w:ascii="Arial" w:hAnsi="Arial" w:cs="Arial"/>
        </w:rPr>
      </w:pPr>
      <w:r w:rsidRPr="000838D8">
        <w:rPr>
          <w:rFonts w:ascii="Arial" w:hAnsi="Arial" w:cs="Arial"/>
        </w:rPr>
        <w:t xml:space="preserve">Las cancelaciones de </w:t>
      </w:r>
      <w:r w:rsidR="00545CDE" w:rsidRPr="000838D8">
        <w:rPr>
          <w:rFonts w:ascii="Arial" w:hAnsi="Arial" w:cs="Arial"/>
        </w:rPr>
        <w:t>giros</w:t>
      </w:r>
      <w:r w:rsidRPr="000838D8">
        <w:rPr>
          <w:rFonts w:ascii="Arial" w:hAnsi="Arial" w:cs="Arial"/>
        </w:rPr>
        <w:t xml:space="preserve"> o los cambios son responsabilidad de </w:t>
      </w:r>
      <w:r w:rsidR="00937529" w:rsidRPr="000838D8">
        <w:rPr>
          <w:rFonts w:ascii="Arial" w:hAnsi="Arial" w:cs="Arial"/>
        </w:rPr>
        <w:t xml:space="preserve">los </w:t>
      </w:r>
      <w:r w:rsidR="00D60A32">
        <w:rPr>
          <w:rFonts w:ascii="Arial" w:hAnsi="Arial" w:cs="Arial"/>
        </w:rPr>
        <w:t>Coordinadores Estatales</w:t>
      </w:r>
      <w:r w:rsidRPr="000838D8">
        <w:rPr>
          <w:rFonts w:ascii="Arial" w:hAnsi="Arial" w:cs="Arial"/>
        </w:rPr>
        <w:t xml:space="preserve">, en tal sentido la </w:t>
      </w:r>
      <w:r w:rsidR="00545CDE" w:rsidRPr="000838D8">
        <w:rPr>
          <w:rFonts w:ascii="Arial" w:hAnsi="Arial" w:cs="Arial"/>
        </w:rPr>
        <w:t>DRF</w:t>
      </w:r>
      <w:r w:rsidRPr="000838D8">
        <w:rPr>
          <w:rFonts w:ascii="Arial" w:hAnsi="Arial" w:cs="Arial"/>
        </w:rPr>
        <w:t xml:space="preserve"> únicamente solicitará los trám</w:t>
      </w:r>
      <w:r w:rsidR="002C7100" w:rsidRPr="000838D8">
        <w:rPr>
          <w:rFonts w:ascii="Arial" w:hAnsi="Arial" w:cs="Arial"/>
        </w:rPr>
        <w:t>ites de cancelación o de cambio</w:t>
      </w:r>
      <w:r w:rsidRPr="000838D8">
        <w:rPr>
          <w:rFonts w:ascii="Arial" w:hAnsi="Arial" w:cs="Arial"/>
        </w:rPr>
        <w:t xml:space="preserve"> </w:t>
      </w:r>
      <w:r w:rsidR="00545CDE" w:rsidRPr="000838D8">
        <w:rPr>
          <w:rFonts w:ascii="Arial" w:hAnsi="Arial" w:cs="Arial"/>
        </w:rPr>
        <w:t xml:space="preserve">que la </w:t>
      </w:r>
      <w:r w:rsidR="00D60A32">
        <w:rPr>
          <w:rFonts w:ascii="Arial" w:hAnsi="Arial" w:cs="Arial"/>
        </w:rPr>
        <w:t>entidad</w:t>
      </w:r>
      <w:r w:rsidR="002C7100" w:rsidRPr="000838D8">
        <w:rPr>
          <w:rFonts w:ascii="Arial" w:hAnsi="Arial" w:cs="Arial"/>
        </w:rPr>
        <w:t xml:space="preserve"> solicite, </w:t>
      </w:r>
      <w:r w:rsidRPr="000838D8">
        <w:rPr>
          <w:rFonts w:ascii="Arial" w:hAnsi="Arial" w:cs="Arial"/>
        </w:rPr>
        <w:t xml:space="preserve">sin responsabilidad alguna </w:t>
      </w:r>
      <w:r w:rsidR="002C7100" w:rsidRPr="000838D8">
        <w:rPr>
          <w:rFonts w:ascii="Arial" w:hAnsi="Arial" w:cs="Arial"/>
        </w:rPr>
        <w:t>para</w:t>
      </w:r>
      <w:r w:rsidR="001F0BA0" w:rsidRPr="000838D8">
        <w:rPr>
          <w:rFonts w:ascii="Arial" w:hAnsi="Arial" w:cs="Arial"/>
        </w:rPr>
        <w:t xml:space="preserve"> la D</w:t>
      </w:r>
      <w:r w:rsidR="000838D8" w:rsidRPr="000838D8">
        <w:rPr>
          <w:rFonts w:ascii="Arial" w:hAnsi="Arial" w:cs="Arial"/>
        </w:rPr>
        <w:t>RF</w:t>
      </w:r>
      <w:r w:rsidR="001F0BA0" w:rsidRPr="000838D8">
        <w:rPr>
          <w:rFonts w:ascii="Arial" w:hAnsi="Arial" w:cs="Arial"/>
        </w:rPr>
        <w:t xml:space="preserve"> </w:t>
      </w:r>
      <w:r w:rsidRPr="000838D8">
        <w:rPr>
          <w:rFonts w:ascii="Arial" w:hAnsi="Arial" w:cs="Arial"/>
        </w:rPr>
        <w:t>en caso de que el apoyo erróneo hubiese sido cobrado.</w:t>
      </w:r>
      <w:r w:rsidR="002C7100" w:rsidRPr="000838D8">
        <w:rPr>
          <w:rFonts w:ascii="Arial" w:hAnsi="Arial" w:cs="Arial"/>
        </w:rPr>
        <w:t xml:space="preserve"> </w:t>
      </w:r>
    </w:p>
    <w:p w:rsidR="001F0BA0" w:rsidRDefault="001F0BA0" w:rsidP="002C7100">
      <w:pPr>
        <w:pStyle w:val="Prrafodelista"/>
        <w:ind w:left="851"/>
        <w:jc w:val="right"/>
        <w:rPr>
          <w:rFonts w:ascii="Arial" w:hAnsi="Arial" w:cs="Arial"/>
        </w:rPr>
      </w:pPr>
    </w:p>
    <w:p w:rsidR="003D1234" w:rsidRPr="002C7100" w:rsidRDefault="0014119F" w:rsidP="002C7100">
      <w:pPr>
        <w:pStyle w:val="Prrafodelista"/>
        <w:ind w:left="851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60A32">
        <w:rPr>
          <w:rFonts w:ascii="Arial" w:hAnsi="Arial" w:cs="Arial"/>
        </w:rPr>
        <w:t>Enero de 2020</w:t>
      </w:r>
    </w:p>
    <w:sectPr w:rsidR="003D1234" w:rsidRPr="002C7100" w:rsidSect="008B0447">
      <w:headerReference w:type="default" r:id="rId8"/>
      <w:footerReference w:type="default" r:id="rId9"/>
      <w:pgSz w:w="12240" w:h="15840"/>
      <w:pgMar w:top="2835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6AC" w:rsidRDefault="007916AC" w:rsidP="00031D12">
      <w:pPr>
        <w:spacing w:after="0" w:line="240" w:lineRule="auto"/>
      </w:pPr>
      <w:r>
        <w:separator/>
      </w:r>
    </w:p>
  </w:endnote>
  <w:endnote w:type="continuationSeparator" w:id="0">
    <w:p w:rsidR="007916AC" w:rsidRDefault="007916AC" w:rsidP="00031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3983221"/>
      <w:docPartObj>
        <w:docPartGallery w:val="Page Numbers (Bottom of Page)"/>
        <w:docPartUnique/>
      </w:docPartObj>
    </w:sdtPr>
    <w:sdtEndPr/>
    <w:sdtContent>
      <w:p w:rsidR="008B0447" w:rsidRDefault="008B0447">
        <w:pPr>
          <w:pStyle w:val="Piedepgina"/>
          <w:jc w:val="center"/>
        </w:pPr>
        <w:r>
          <w:rPr>
            <w:noProof/>
            <w:lang w:eastAsia="es-MX"/>
          </w:rPr>
          <mc:AlternateContent>
            <mc:Choice Requires="wps">
              <w:drawing>
                <wp:inline distT="0" distB="0" distL="0" distR="0" wp14:anchorId="474B79CC" wp14:editId="358C5004">
                  <wp:extent cx="5467350" cy="45085"/>
                  <wp:effectExtent l="9525" t="9525" r="0" b="2540"/>
                  <wp:docPr id="648" name="Autoforma 1" descr="Horizontal clar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type w14:anchorId="20106C5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a 1" o:spid="_x0000_s1026" type="#_x0000_t110" alt="Horizontal clara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8B0447" w:rsidRDefault="008B0447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9043F" w:rsidRPr="0039043F">
          <w:rPr>
            <w:noProof/>
            <w:lang w:val="es-ES"/>
          </w:rPr>
          <w:t>4</w:t>
        </w:r>
        <w:r>
          <w:fldChar w:fldCharType="end"/>
        </w:r>
      </w:p>
    </w:sdtContent>
  </w:sdt>
  <w:p w:rsidR="00764F12" w:rsidRDefault="00764F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6AC" w:rsidRDefault="007916AC" w:rsidP="00031D12">
      <w:pPr>
        <w:spacing w:after="0" w:line="240" w:lineRule="auto"/>
      </w:pPr>
      <w:r>
        <w:separator/>
      </w:r>
    </w:p>
  </w:footnote>
  <w:footnote w:type="continuationSeparator" w:id="0">
    <w:p w:rsidR="007916AC" w:rsidRDefault="007916AC" w:rsidP="00031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936" w:rsidRDefault="008E3936" w:rsidP="00031D12">
    <w:pPr>
      <w:jc w:val="center"/>
      <w:rPr>
        <w:rFonts w:ascii="Arial" w:hAnsi="Arial" w:cs="Arial"/>
        <w:b/>
        <w:smallCaps/>
        <w:sz w:val="24"/>
        <w:szCs w:val="24"/>
      </w:rPr>
    </w:pPr>
  </w:p>
  <w:p w:rsidR="00031D12" w:rsidRPr="00CC7A34" w:rsidRDefault="00031D12" w:rsidP="008E3936">
    <w:pPr>
      <w:ind w:left="993" w:right="900"/>
      <w:jc w:val="center"/>
      <w:rPr>
        <w:rFonts w:ascii="Arial" w:hAnsi="Arial" w:cs="Arial"/>
        <w:b/>
        <w:smallCaps/>
        <w:sz w:val="20"/>
        <w:szCs w:val="20"/>
      </w:rPr>
    </w:pPr>
    <w:r w:rsidRPr="00CC7A34">
      <w:rPr>
        <w:rFonts w:ascii="Arial" w:hAnsi="Arial" w:cs="Arial"/>
        <w:b/>
        <w:smallCaps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2295CE" wp14:editId="0ED9A59A">
              <wp:simplePos x="0" y="0"/>
              <wp:positionH relativeFrom="column">
                <wp:posOffset>69325</wp:posOffset>
              </wp:positionH>
              <wp:positionV relativeFrom="paragraph">
                <wp:posOffset>803247</wp:posOffset>
              </wp:positionV>
              <wp:extent cx="5657850" cy="0"/>
              <wp:effectExtent l="38100" t="38100" r="57150" b="952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785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5801128" id="1 Conector recto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63.25pt" to="450.9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" strokecolor="#4f81bd [3204]" strokeweight="2pt">
              <v:shadow on="t" color="black" opacity="24903f" origin=",.5" offset="0,.55556mm"/>
            </v:line>
          </w:pict>
        </mc:Fallback>
      </mc:AlternateContent>
    </w:r>
    <w:r w:rsidR="009036EF">
      <w:rPr>
        <w:rFonts w:ascii="Arial" w:hAnsi="Arial" w:cs="Arial"/>
        <w:b/>
        <w:smallCaps/>
        <w:sz w:val="20"/>
        <w:szCs w:val="20"/>
      </w:rPr>
      <w:t>Bas</w:t>
    </w:r>
    <w:r w:rsidR="00AA6EBE">
      <w:rPr>
        <w:rFonts w:ascii="Arial" w:hAnsi="Arial" w:cs="Arial"/>
        <w:b/>
        <w:smallCaps/>
        <w:sz w:val="20"/>
        <w:szCs w:val="20"/>
      </w:rPr>
      <w:t>es de Cálculo para</w:t>
    </w:r>
    <w:r w:rsidR="007A10A0">
      <w:rPr>
        <w:rFonts w:ascii="Arial" w:hAnsi="Arial" w:cs="Arial"/>
        <w:b/>
        <w:smallCaps/>
        <w:sz w:val="20"/>
        <w:szCs w:val="20"/>
      </w:rPr>
      <w:t xml:space="preserve"> la aplicación docente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93FD5"/>
    <w:multiLevelType w:val="hybridMultilevel"/>
    <w:tmpl w:val="0074A0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35311"/>
    <w:multiLevelType w:val="multilevel"/>
    <w:tmpl w:val="F050AC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6F77198"/>
    <w:multiLevelType w:val="hybridMultilevel"/>
    <w:tmpl w:val="4718C84E"/>
    <w:lvl w:ilvl="0" w:tplc="E124C860">
      <w:start w:val="15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B77B8"/>
    <w:multiLevelType w:val="hybridMultilevel"/>
    <w:tmpl w:val="2D20A7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802D6"/>
    <w:multiLevelType w:val="hybridMultilevel"/>
    <w:tmpl w:val="0C22E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86EA1"/>
    <w:multiLevelType w:val="multilevel"/>
    <w:tmpl w:val="0D6EB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</w:rPr>
    </w:lvl>
  </w:abstractNum>
  <w:abstractNum w:abstractNumId="6" w15:restartNumberingAfterBreak="0">
    <w:nsid w:val="15CC5A3D"/>
    <w:multiLevelType w:val="hybridMultilevel"/>
    <w:tmpl w:val="3C6A223C"/>
    <w:lvl w:ilvl="0" w:tplc="1BB8BA3C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63F05"/>
    <w:multiLevelType w:val="hybridMultilevel"/>
    <w:tmpl w:val="1D4C4EA8"/>
    <w:lvl w:ilvl="0" w:tplc="B6E87F2C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321F6"/>
    <w:multiLevelType w:val="hybridMultilevel"/>
    <w:tmpl w:val="8A22D5F8"/>
    <w:lvl w:ilvl="0" w:tplc="E124C860">
      <w:start w:val="15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7C789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66731E"/>
    <w:multiLevelType w:val="hybridMultilevel"/>
    <w:tmpl w:val="122686B4"/>
    <w:lvl w:ilvl="0" w:tplc="1FD6CA72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40476"/>
    <w:multiLevelType w:val="hybridMultilevel"/>
    <w:tmpl w:val="93E4404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41613A"/>
    <w:multiLevelType w:val="multilevel"/>
    <w:tmpl w:val="7D3E44B2"/>
    <w:numStyleLink w:val="Estilo1"/>
  </w:abstractNum>
  <w:abstractNum w:abstractNumId="13" w15:restartNumberingAfterBreak="0">
    <w:nsid w:val="3641235C"/>
    <w:multiLevelType w:val="multilevel"/>
    <w:tmpl w:val="06A40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73F3054"/>
    <w:multiLevelType w:val="hybridMultilevel"/>
    <w:tmpl w:val="ECA8B08C"/>
    <w:lvl w:ilvl="0" w:tplc="9D402F2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02B7B"/>
    <w:multiLevelType w:val="hybridMultilevel"/>
    <w:tmpl w:val="045A42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560F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B833A7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4D086A78"/>
    <w:multiLevelType w:val="hybridMultilevel"/>
    <w:tmpl w:val="B2E6BB4A"/>
    <w:lvl w:ilvl="0" w:tplc="6B089DE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40234"/>
    <w:multiLevelType w:val="hybridMultilevel"/>
    <w:tmpl w:val="D41026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A3707"/>
    <w:multiLevelType w:val="hybridMultilevel"/>
    <w:tmpl w:val="9538F8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07606"/>
    <w:multiLevelType w:val="hybridMultilevel"/>
    <w:tmpl w:val="07689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97E50"/>
    <w:multiLevelType w:val="hybridMultilevel"/>
    <w:tmpl w:val="8C1A6B08"/>
    <w:lvl w:ilvl="0" w:tplc="3FCA7E9C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56979"/>
    <w:multiLevelType w:val="hybridMultilevel"/>
    <w:tmpl w:val="39721C6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55131A"/>
    <w:multiLevelType w:val="hybridMultilevel"/>
    <w:tmpl w:val="472CCA84"/>
    <w:lvl w:ilvl="0" w:tplc="6B089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73EBA"/>
    <w:multiLevelType w:val="multilevel"/>
    <w:tmpl w:val="7D3E44B2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B3C2058"/>
    <w:multiLevelType w:val="multilevel"/>
    <w:tmpl w:val="0D6EB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</w:rPr>
    </w:lvl>
  </w:abstractNum>
  <w:abstractNum w:abstractNumId="27" w15:restartNumberingAfterBreak="0">
    <w:nsid w:val="6BA84EEB"/>
    <w:multiLevelType w:val="hybridMultilevel"/>
    <w:tmpl w:val="DE28482A"/>
    <w:lvl w:ilvl="0" w:tplc="34449D1C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57B81"/>
    <w:multiLevelType w:val="multilevel"/>
    <w:tmpl w:val="0D6EB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</w:rPr>
    </w:lvl>
  </w:abstractNum>
  <w:abstractNum w:abstractNumId="29" w15:restartNumberingAfterBreak="0">
    <w:nsid w:val="75EC248B"/>
    <w:multiLevelType w:val="multilevel"/>
    <w:tmpl w:val="0D6EB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</w:rPr>
    </w:lvl>
  </w:abstractNum>
  <w:abstractNum w:abstractNumId="30" w15:restartNumberingAfterBreak="0">
    <w:nsid w:val="7B4F4EDC"/>
    <w:multiLevelType w:val="multilevel"/>
    <w:tmpl w:val="0D6EB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</w:rPr>
    </w:lvl>
  </w:abstractNum>
  <w:num w:numId="1">
    <w:abstractNumId w:val="24"/>
  </w:num>
  <w:num w:numId="2">
    <w:abstractNumId w:val="0"/>
  </w:num>
  <w:num w:numId="3">
    <w:abstractNumId w:val="19"/>
  </w:num>
  <w:num w:numId="4">
    <w:abstractNumId w:val="21"/>
  </w:num>
  <w:num w:numId="5">
    <w:abstractNumId w:val="14"/>
  </w:num>
  <w:num w:numId="6">
    <w:abstractNumId w:val="18"/>
  </w:num>
  <w:num w:numId="7">
    <w:abstractNumId w:val="11"/>
  </w:num>
  <w:num w:numId="8">
    <w:abstractNumId w:val="20"/>
  </w:num>
  <w:num w:numId="9">
    <w:abstractNumId w:val="27"/>
  </w:num>
  <w:num w:numId="10">
    <w:abstractNumId w:val="6"/>
  </w:num>
  <w:num w:numId="11">
    <w:abstractNumId w:val="10"/>
  </w:num>
  <w:num w:numId="12">
    <w:abstractNumId w:val="7"/>
  </w:num>
  <w:num w:numId="13">
    <w:abstractNumId w:val="22"/>
  </w:num>
  <w:num w:numId="14">
    <w:abstractNumId w:val="8"/>
  </w:num>
  <w:num w:numId="15">
    <w:abstractNumId w:val="3"/>
  </w:num>
  <w:num w:numId="16">
    <w:abstractNumId w:val="2"/>
  </w:num>
  <w:num w:numId="17">
    <w:abstractNumId w:val="15"/>
  </w:num>
  <w:num w:numId="18">
    <w:abstractNumId w:val="16"/>
  </w:num>
  <w:num w:numId="19">
    <w:abstractNumId w:val="17"/>
  </w:num>
  <w:num w:numId="20">
    <w:abstractNumId w:val="9"/>
  </w:num>
  <w:num w:numId="21">
    <w:abstractNumId w:val="26"/>
  </w:num>
  <w:num w:numId="22">
    <w:abstractNumId w:val="29"/>
  </w:num>
  <w:num w:numId="23">
    <w:abstractNumId w:val="28"/>
  </w:num>
  <w:num w:numId="24">
    <w:abstractNumId w:val="30"/>
  </w:num>
  <w:num w:numId="25">
    <w:abstractNumId w:val="1"/>
  </w:num>
  <w:num w:numId="26">
    <w:abstractNumId w:val="12"/>
  </w:num>
  <w:num w:numId="27">
    <w:abstractNumId w:val="5"/>
  </w:num>
  <w:num w:numId="28">
    <w:abstractNumId w:val="13"/>
  </w:num>
  <w:num w:numId="29">
    <w:abstractNumId w:val="25"/>
  </w:num>
  <w:num w:numId="30">
    <w:abstractNumId w:val="23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C5"/>
    <w:rsid w:val="00000D1D"/>
    <w:rsid w:val="000161E4"/>
    <w:rsid w:val="00031D12"/>
    <w:rsid w:val="000346A0"/>
    <w:rsid w:val="000370F8"/>
    <w:rsid w:val="000371CD"/>
    <w:rsid w:val="00040AD1"/>
    <w:rsid w:val="000414EB"/>
    <w:rsid w:val="0004260A"/>
    <w:rsid w:val="000436E4"/>
    <w:rsid w:val="00050404"/>
    <w:rsid w:val="00050612"/>
    <w:rsid w:val="0005257D"/>
    <w:rsid w:val="00056A8B"/>
    <w:rsid w:val="0006574D"/>
    <w:rsid w:val="00066EB8"/>
    <w:rsid w:val="00067B96"/>
    <w:rsid w:val="00070919"/>
    <w:rsid w:val="00073A32"/>
    <w:rsid w:val="000838D8"/>
    <w:rsid w:val="0008604E"/>
    <w:rsid w:val="000860EC"/>
    <w:rsid w:val="00087706"/>
    <w:rsid w:val="000A6C82"/>
    <w:rsid w:val="000A71C1"/>
    <w:rsid w:val="000B2E40"/>
    <w:rsid w:val="000B752B"/>
    <w:rsid w:val="000C1875"/>
    <w:rsid w:val="000D0A4C"/>
    <w:rsid w:val="000D16D6"/>
    <w:rsid w:val="000E1E05"/>
    <w:rsid w:val="000F2A20"/>
    <w:rsid w:val="0010379A"/>
    <w:rsid w:val="00133CF5"/>
    <w:rsid w:val="001375E8"/>
    <w:rsid w:val="0014119F"/>
    <w:rsid w:val="00141E16"/>
    <w:rsid w:val="00170F7C"/>
    <w:rsid w:val="00171AE1"/>
    <w:rsid w:val="00190A65"/>
    <w:rsid w:val="00192FEA"/>
    <w:rsid w:val="001A501A"/>
    <w:rsid w:val="001B4A57"/>
    <w:rsid w:val="001D005E"/>
    <w:rsid w:val="001D2717"/>
    <w:rsid w:val="001E3880"/>
    <w:rsid w:val="001E3B94"/>
    <w:rsid w:val="001E47B0"/>
    <w:rsid w:val="001F0BA0"/>
    <w:rsid w:val="001F1E8F"/>
    <w:rsid w:val="001F4284"/>
    <w:rsid w:val="001F53AC"/>
    <w:rsid w:val="0022467C"/>
    <w:rsid w:val="002339E3"/>
    <w:rsid w:val="0023683A"/>
    <w:rsid w:val="002414C4"/>
    <w:rsid w:val="00242E3A"/>
    <w:rsid w:val="00243555"/>
    <w:rsid w:val="00257CFB"/>
    <w:rsid w:val="00267250"/>
    <w:rsid w:val="00271B95"/>
    <w:rsid w:val="00284A09"/>
    <w:rsid w:val="00293A69"/>
    <w:rsid w:val="002A6483"/>
    <w:rsid w:val="002B12E5"/>
    <w:rsid w:val="002C7100"/>
    <w:rsid w:val="002C74B9"/>
    <w:rsid w:val="002F06F7"/>
    <w:rsid w:val="002F075F"/>
    <w:rsid w:val="002F1854"/>
    <w:rsid w:val="002F38A3"/>
    <w:rsid w:val="002F7ABF"/>
    <w:rsid w:val="002F7F50"/>
    <w:rsid w:val="00302D57"/>
    <w:rsid w:val="00307B7F"/>
    <w:rsid w:val="00326528"/>
    <w:rsid w:val="00334110"/>
    <w:rsid w:val="003368A7"/>
    <w:rsid w:val="00337DBC"/>
    <w:rsid w:val="00345457"/>
    <w:rsid w:val="0034740E"/>
    <w:rsid w:val="00351AB8"/>
    <w:rsid w:val="003568D3"/>
    <w:rsid w:val="003636AA"/>
    <w:rsid w:val="00364E74"/>
    <w:rsid w:val="00367302"/>
    <w:rsid w:val="00372693"/>
    <w:rsid w:val="00373684"/>
    <w:rsid w:val="00374ABC"/>
    <w:rsid w:val="00375D1F"/>
    <w:rsid w:val="00380749"/>
    <w:rsid w:val="0039043F"/>
    <w:rsid w:val="00392FF5"/>
    <w:rsid w:val="003A5C46"/>
    <w:rsid w:val="003C5391"/>
    <w:rsid w:val="003C75D2"/>
    <w:rsid w:val="003C7E58"/>
    <w:rsid w:val="003D1234"/>
    <w:rsid w:val="003D5981"/>
    <w:rsid w:val="003F3EE0"/>
    <w:rsid w:val="004336CB"/>
    <w:rsid w:val="00457A47"/>
    <w:rsid w:val="00461CD3"/>
    <w:rsid w:val="004657E1"/>
    <w:rsid w:val="004825AF"/>
    <w:rsid w:val="00482AE9"/>
    <w:rsid w:val="00483EEC"/>
    <w:rsid w:val="00494E2C"/>
    <w:rsid w:val="00496E05"/>
    <w:rsid w:val="004A0A6F"/>
    <w:rsid w:val="004B7AEE"/>
    <w:rsid w:val="004C4E49"/>
    <w:rsid w:val="004C72FA"/>
    <w:rsid w:val="004C7367"/>
    <w:rsid w:val="004E5B55"/>
    <w:rsid w:val="004F075E"/>
    <w:rsid w:val="0051598C"/>
    <w:rsid w:val="00525AE8"/>
    <w:rsid w:val="00540927"/>
    <w:rsid w:val="00541626"/>
    <w:rsid w:val="00541771"/>
    <w:rsid w:val="00545CDE"/>
    <w:rsid w:val="00551FB3"/>
    <w:rsid w:val="00552A29"/>
    <w:rsid w:val="005546D7"/>
    <w:rsid w:val="005554F4"/>
    <w:rsid w:val="00561FFB"/>
    <w:rsid w:val="00573185"/>
    <w:rsid w:val="00575C20"/>
    <w:rsid w:val="00586315"/>
    <w:rsid w:val="00592547"/>
    <w:rsid w:val="005A318B"/>
    <w:rsid w:val="005A5636"/>
    <w:rsid w:val="005A751C"/>
    <w:rsid w:val="005B7E6B"/>
    <w:rsid w:val="005C6199"/>
    <w:rsid w:val="005C67A8"/>
    <w:rsid w:val="005C7780"/>
    <w:rsid w:val="005D76C3"/>
    <w:rsid w:val="005E181A"/>
    <w:rsid w:val="00610AAB"/>
    <w:rsid w:val="006141C5"/>
    <w:rsid w:val="0062353B"/>
    <w:rsid w:val="0063015A"/>
    <w:rsid w:val="00640CA0"/>
    <w:rsid w:val="00642089"/>
    <w:rsid w:val="006477CC"/>
    <w:rsid w:val="00660B81"/>
    <w:rsid w:val="00674CC8"/>
    <w:rsid w:val="00686612"/>
    <w:rsid w:val="00696C1D"/>
    <w:rsid w:val="006B07DC"/>
    <w:rsid w:val="006C55D5"/>
    <w:rsid w:val="006D0451"/>
    <w:rsid w:val="006F42B0"/>
    <w:rsid w:val="006F77E7"/>
    <w:rsid w:val="00712F22"/>
    <w:rsid w:val="00715B9A"/>
    <w:rsid w:val="00722E0C"/>
    <w:rsid w:val="007305E0"/>
    <w:rsid w:val="00737813"/>
    <w:rsid w:val="007408F4"/>
    <w:rsid w:val="007437EA"/>
    <w:rsid w:val="00745C59"/>
    <w:rsid w:val="0076122A"/>
    <w:rsid w:val="007616D3"/>
    <w:rsid w:val="00762917"/>
    <w:rsid w:val="00764F12"/>
    <w:rsid w:val="00767880"/>
    <w:rsid w:val="007719A1"/>
    <w:rsid w:val="007873AD"/>
    <w:rsid w:val="0079132E"/>
    <w:rsid w:val="007916AC"/>
    <w:rsid w:val="0079428E"/>
    <w:rsid w:val="0079616A"/>
    <w:rsid w:val="0079723B"/>
    <w:rsid w:val="007A10A0"/>
    <w:rsid w:val="007A2E8D"/>
    <w:rsid w:val="007A6DAD"/>
    <w:rsid w:val="007B182D"/>
    <w:rsid w:val="007C26F4"/>
    <w:rsid w:val="007D2621"/>
    <w:rsid w:val="007D28E9"/>
    <w:rsid w:val="007D505D"/>
    <w:rsid w:val="007D686A"/>
    <w:rsid w:val="007D7E9B"/>
    <w:rsid w:val="007E76E9"/>
    <w:rsid w:val="007F20DC"/>
    <w:rsid w:val="007F281D"/>
    <w:rsid w:val="007F5667"/>
    <w:rsid w:val="0080125B"/>
    <w:rsid w:val="0080295B"/>
    <w:rsid w:val="00813F62"/>
    <w:rsid w:val="00856494"/>
    <w:rsid w:val="00856BD8"/>
    <w:rsid w:val="00873AEC"/>
    <w:rsid w:val="00887A0A"/>
    <w:rsid w:val="00891298"/>
    <w:rsid w:val="00893258"/>
    <w:rsid w:val="008A064B"/>
    <w:rsid w:val="008A22C3"/>
    <w:rsid w:val="008A3F81"/>
    <w:rsid w:val="008A449B"/>
    <w:rsid w:val="008B0447"/>
    <w:rsid w:val="008B3432"/>
    <w:rsid w:val="008B54F6"/>
    <w:rsid w:val="008C086A"/>
    <w:rsid w:val="008C0D36"/>
    <w:rsid w:val="008C3EAC"/>
    <w:rsid w:val="008D75B0"/>
    <w:rsid w:val="008E3936"/>
    <w:rsid w:val="008E7964"/>
    <w:rsid w:val="008F1D64"/>
    <w:rsid w:val="008F3F71"/>
    <w:rsid w:val="008F57A1"/>
    <w:rsid w:val="008F66DF"/>
    <w:rsid w:val="009036EF"/>
    <w:rsid w:val="00912D54"/>
    <w:rsid w:val="00912F5E"/>
    <w:rsid w:val="009231BC"/>
    <w:rsid w:val="00923722"/>
    <w:rsid w:val="00924C4B"/>
    <w:rsid w:val="009275CE"/>
    <w:rsid w:val="0093462B"/>
    <w:rsid w:val="00937529"/>
    <w:rsid w:val="00940175"/>
    <w:rsid w:val="00941B35"/>
    <w:rsid w:val="00943FAF"/>
    <w:rsid w:val="00953BA2"/>
    <w:rsid w:val="009826EC"/>
    <w:rsid w:val="009A5F9D"/>
    <w:rsid w:val="009B299C"/>
    <w:rsid w:val="009E3A8E"/>
    <w:rsid w:val="009E6A16"/>
    <w:rsid w:val="00A01D49"/>
    <w:rsid w:val="00A07178"/>
    <w:rsid w:val="00A26CAA"/>
    <w:rsid w:val="00A612A0"/>
    <w:rsid w:val="00A73997"/>
    <w:rsid w:val="00A758A6"/>
    <w:rsid w:val="00A82B2F"/>
    <w:rsid w:val="00A9324D"/>
    <w:rsid w:val="00A9506A"/>
    <w:rsid w:val="00AA6EBE"/>
    <w:rsid w:val="00AB2904"/>
    <w:rsid w:val="00AB446F"/>
    <w:rsid w:val="00AC1A96"/>
    <w:rsid w:val="00AC537F"/>
    <w:rsid w:val="00AD0C1B"/>
    <w:rsid w:val="00AD21C7"/>
    <w:rsid w:val="00AD28CC"/>
    <w:rsid w:val="00AE5E3E"/>
    <w:rsid w:val="00AF1916"/>
    <w:rsid w:val="00AF205B"/>
    <w:rsid w:val="00AF71D3"/>
    <w:rsid w:val="00B14AD8"/>
    <w:rsid w:val="00B22343"/>
    <w:rsid w:val="00B2337B"/>
    <w:rsid w:val="00B36F58"/>
    <w:rsid w:val="00B4215F"/>
    <w:rsid w:val="00B43FF1"/>
    <w:rsid w:val="00B5335F"/>
    <w:rsid w:val="00B65D57"/>
    <w:rsid w:val="00B75B10"/>
    <w:rsid w:val="00B77D36"/>
    <w:rsid w:val="00B86262"/>
    <w:rsid w:val="00B92261"/>
    <w:rsid w:val="00BA25FF"/>
    <w:rsid w:val="00BA7AD1"/>
    <w:rsid w:val="00BB7EA4"/>
    <w:rsid w:val="00BC0EEF"/>
    <w:rsid w:val="00BD4872"/>
    <w:rsid w:val="00BE2F6F"/>
    <w:rsid w:val="00C001E2"/>
    <w:rsid w:val="00C0036D"/>
    <w:rsid w:val="00C0110C"/>
    <w:rsid w:val="00C04DB7"/>
    <w:rsid w:val="00C07F89"/>
    <w:rsid w:val="00C1259F"/>
    <w:rsid w:val="00C30059"/>
    <w:rsid w:val="00C42275"/>
    <w:rsid w:val="00C53A1F"/>
    <w:rsid w:val="00C60C07"/>
    <w:rsid w:val="00C71BD9"/>
    <w:rsid w:val="00C83F3B"/>
    <w:rsid w:val="00C8693B"/>
    <w:rsid w:val="00C870AA"/>
    <w:rsid w:val="00CC7A34"/>
    <w:rsid w:val="00CD456F"/>
    <w:rsid w:val="00CD6249"/>
    <w:rsid w:val="00CE2761"/>
    <w:rsid w:val="00CE2CC5"/>
    <w:rsid w:val="00CE4892"/>
    <w:rsid w:val="00CE554C"/>
    <w:rsid w:val="00CF5AB0"/>
    <w:rsid w:val="00CF7C61"/>
    <w:rsid w:val="00D0665D"/>
    <w:rsid w:val="00D129EA"/>
    <w:rsid w:val="00D2605C"/>
    <w:rsid w:val="00D32EAD"/>
    <w:rsid w:val="00D357DE"/>
    <w:rsid w:val="00D46479"/>
    <w:rsid w:val="00D51BC7"/>
    <w:rsid w:val="00D5301B"/>
    <w:rsid w:val="00D543E1"/>
    <w:rsid w:val="00D60A32"/>
    <w:rsid w:val="00D65691"/>
    <w:rsid w:val="00D671F4"/>
    <w:rsid w:val="00D67AA8"/>
    <w:rsid w:val="00D84A10"/>
    <w:rsid w:val="00D92B2A"/>
    <w:rsid w:val="00D941EC"/>
    <w:rsid w:val="00D975CF"/>
    <w:rsid w:val="00DA4A1A"/>
    <w:rsid w:val="00DB2699"/>
    <w:rsid w:val="00DB3573"/>
    <w:rsid w:val="00DB7BCE"/>
    <w:rsid w:val="00DC1F33"/>
    <w:rsid w:val="00DC3CC8"/>
    <w:rsid w:val="00DC780A"/>
    <w:rsid w:val="00DE25F5"/>
    <w:rsid w:val="00DE4DD2"/>
    <w:rsid w:val="00DE529E"/>
    <w:rsid w:val="00DF7AF5"/>
    <w:rsid w:val="00E21C36"/>
    <w:rsid w:val="00E22CAE"/>
    <w:rsid w:val="00E2511E"/>
    <w:rsid w:val="00E256F5"/>
    <w:rsid w:val="00E27B39"/>
    <w:rsid w:val="00E42A42"/>
    <w:rsid w:val="00E42C0B"/>
    <w:rsid w:val="00E53EC3"/>
    <w:rsid w:val="00E66D0B"/>
    <w:rsid w:val="00E707FC"/>
    <w:rsid w:val="00E8142A"/>
    <w:rsid w:val="00E86695"/>
    <w:rsid w:val="00E90882"/>
    <w:rsid w:val="00E96AE3"/>
    <w:rsid w:val="00EB100D"/>
    <w:rsid w:val="00EB12BF"/>
    <w:rsid w:val="00EC1E6B"/>
    <w:rsid w:val="00ED23BF"/>
    <w:rsid w:val="00EE3BD4"/>
    <w:rsid w:val="00F02C0F"/>
    <w:rsid w:val="00F03F7D"/>
    <w:rsid w:val="00F3008C"/>
    <w:rsid w:val="00F641EE"/>
    <w:rsid w:val="00F66EA5"/>
    <w:rsid w:val="00F67290"/>
    <w:rsid w:val="00F72E49"/>
    <w:rsid w:val="00F74AFB"/>
    <w:rsid w:val="00F75B98"/>
    <w:rsid w:val="00F77C31"/>
    <w:rsid w:val="00F83A80"/>
    <w:rsid w:val="00F83AD3"/>
    <w:rsid w:val="00F84CD3"/>
    <w:rsid w:val="00F86A6B"/>
    <w:rsid w:val="00F922B1"/>
    <w:rsid w:val="00FC1040"/>
    <w:rsid w:val="00FD53BF"/>
    <w:rsid w:val="00FF4E3D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8AA4F"/>
  <w15:docId w15:val="{79781549-D7D0-433A-873A-256A1591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5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E1"/>
    <w:pPr>
      <w:ind w:left="720"/>
      <w:contextualSpacing/>
    </w:pPr>
  </w:style>
  <w:style w:type="table" w:styleId="Tablaconcuadrcula">
    <w:name w:val="Table Grid"/>
    <w:basedOn w:val="Tablanormal"/>
    <w:uiPriority w:val="59"/>
    <w:rsid w:val="00541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rsid w:val="008B54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C3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EA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31D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D12"/>
  </w:style>
  <w:style w:type="paragraph" w:styleId="Piedepgina">
    <w:name w:val="footer"/>
    <w:basedOn w:val="Normal"/>
    <w:link w:val="PiedepginaCar"/>
    <w:uiPriority w:val="99"/>
    <w:unhideWhenUsed/>
    <w:rsid w:val="00031D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D12"/>
  </w:style>
  <w:style w:type="paragraph" w:styleId="Sinespaciado">
    <w:name w:val="No Spacing"/>
    <w:uiPriority w:val="1"/>
    <w:qFormat/>
    <w:rsid w:val="00764F12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1E47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47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47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47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47B0"/>
    <w:rPr>
      <w:b/>
      <w:bCs/>
      <w:sz w:val="20"/>
      <w:szCs w:val="20"/>
    </w:rPr>
  </w:style>
  <w:style w:type="numbering" w:customStyle="1" w:styleId="Estilo1">
    <w:name w:val="Estilo1"/>
    <w:uiPriority w:val="99"/>
    <w:rsid w:val="000838D8"/>
    <w:pPr>
      <w:numPr>
        <w:numId w:val="29"/>
      </w:numPr>
    </w:pPr>
  </w:style>
  <w:style w:type="table" w:styleId="Tabladelista3">
    <w:name w:val="List Table 3"/>
    <w:basedOn w:val="Tablanormal"/>
    <w:uiPriority w:val="48"/>
    <w:rsid w:val="00375D1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2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81611-8C5F-4BB8-95F1-ABEF4BADE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959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Criterios</vt:lpstr>
    </vt:vector>
  </TitlesOfParts>
  <Company>INEE</Company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Criterios</dc:title>
  <dc:creator>Artemio Cruz</dc:creator>
  <cp:lastModifiedBy>hp</cp:lastModifiedBy>
  <cp:revision>6</cp:revision>
  <cp:lastPrinted>2014-11-13T18:23:00Z</cp:lastPrinted>
  <dcterms:created xsi:type="dcterms:W3CDTF">2019-12-22T02:33:00Z</dcterms:created>
  <dcterms:modified xsi:type="dcterms:W3CDTF">2019-12-22T03:16:00Z</dcterms:modified>
</cp:coreProperties>
</file>