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CF" w:rsidRPr="00DB5C76" w:rsidRDefault="00F821CF" w:rsidP="00F821CF">
      <w:pPr>
        <w:spacing w:after="0"/>
        <w:jc w:val="center"/>
        <w:rPr>
          <w:b/>
          <w:color w:val="215868" w:themeColor="accent5" w:themeShade="80"/>
          <w:sz w:val="28"/>
          <w:szCs w:val="28"/>
        </w:rPr>
      </w:pPr>
      <w:r w:rsidRPr="00DB5C76">
        <w:rPr>
          <w:b/>
          <w:color w:val="215868" w:themeColor="accent5" w:themeShade="80"/>
          <w:sz w:val="28"/>
          <w:szCs w:val="28"/>
        </w:rPr>
        <w:t>Ficha técnica</w:t>
      </w:r>
    </w:p>
    <w:p w:rsidR="00F821CF" w:rsidRDefault="00F821CF" w:rsidP="00F821CF">
      <w:pPr>
        <w:spacing w:after="0" w:line="240" w:lineRule="auto"/>
        <w:jc w:val="center"/>
        <w:rPr>
          <w:color w:val="215868" w:themeColor="accent5" w:themeShade="80"/>
          <w:sz w:val="28"/>
          <w:szCs w:val="28"/>
        </w:rPr>
      </w:pPr>
      <w:r w:rsidRPr="00DB5C76">
        <w:rPr>
          <w:color w:val="215868" w:themeColor="accent5" w:themeShade="80"/>
          <w:sz w:val="28"/>
          <w:szCs w:val="28"/>
        </w:rPr>
        <w:t xml:space="preserve">Instrumentos de valoración del Sistema de Apreciación de Conocimientos y Aptitudes </w:t>
      </w:r>
    </w:p>
    <w:p w:rsidR="00F821CF" w:rsidRDefault="00F821CF" w:rsidP="00F821CF">
      <w:pPr>
        <w:spacing w:after="0" w:line="240" w:lineRule="auto"/>
        <w:jc w:val="center"/>
        <w:rPr>
          <w:color w:val="215868" w:themeColor="accent5" w:themeShade="80"/>
          <w:sz w:val="28"/>
          <w:szCs w:val="28"/>
        </w:rPr>
      </w:pP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8641"/>
      </w:tblGrid>
      <w:tr w:rsidR="00F54E23" w:rsidTr="00F821CF">
        <w:trPr>
          <w:trHeight w:val="509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Nombre</w:t>
            </w:r>
          </w:p>
        </w:tc>
        <w:tc>
          <w:tcPr>
            <w:tcW w:w="8641" w:type="dxa"/>
            <w:vAlign w:val="center"/>
          </w:tcPr>
          <w:p w:rsidR="00F54E23" w:rsidRDefault="00F54E23">
            <w:pPr>
              <w:rPr>
                <w:highlight w:val="white"/>
              </w:rPr>
            </w:pPr>
          </w:p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</w:p>
        </w:tc>
      </w:tr>
      <w:tr w:rsidR="00F54E23" w:rsidTr="00F821CF">
        <w:trPr>
          <w:trHeight w:val="459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Clave interna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cyan"/>
              </w:rPr>
            </w:pPr>
            <w:r>
              <w:rPr>
                <w:highlight w:val="cyan"/>
              </w:rPr>
              <w:t>Por definir</w:t>
            </w:r>
          </w:p>
        </w:tc>
      </w:tr>
      <w:tr w:rsidR="00F54E23" w:rsidTr="00F821CF">
        <w:trPr>
          <w:trHeight w:val="372"/>
        </w:trPr>
        <w:tc>
          <w:tcPr>
            <w:tcW w:w="1707" w:type="dxa"/>
            <w:shd w:val="clear" w:color="auto" w:fill="E2EFD9"/>
            <w:vAlign w:val="center"/>
          </w:tcPr>
          <w:p w:rsidR="00F54E23" w:rsidRDefault="00F821CF">
            <w:r>
              <w:t>Periodo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2020-2022  </w:t>
            </w:r>
          </w:p>
        </w:tc>
      </w:tr>
      <w:tr w:rsidR="00F54E23" w:rsidTr="00F821CF">
        <w:trPr>
          <w:trHeight w:val="492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Propósito</w:t>
            </w:r>
          </w:p>
        </w:tc>
        <w:tc>
          <w:tcPr>
            <w:tcW w:w="8641" w:type="dxa"/>
            <w:vAlign w:val="center"/>
          </w:tcPr>
          <w:p w:rsidR="00F54E23" w:rsidRDefault="00C31030" w:rsidP="00F821CF">
            <w:r>
              <w:t xml:space="preserve">Valorar las habilidades, creencias y valores necesarios para el ejercicio de la función de dirección que poseen los aspirantes a ser seleccionados a la promoción vertical, conforme a los perfiles profesionales correspondientes que constituyen el </w:t>
            </w:r>
            <w:r>
              <w:t>referente principal respecto de lo que requieren saber y saber hacer los aspirantes a desempeñar dicha función.</w:t>
            </w:r>
          </w:p>
        </w:tc>
      </w:tr>
      <w:tr w:rsidR="00F54E23" w:rsidTr="00F821CF">
        <w:trPr>
          <w:trHeight w:val="58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Objeto de evaluación</w:t>
            </w:r>
          </w:p>
        </w:tc>
        <w:tc>
          <w:tcPr>
            <w:tcW w:w="8641" w:type="dxa"/>
            <w:vAlign w:val="center"/>
          </w:tcPr>
          <w:p w:rsidR="00F54E23" w:rsidRDefault="00C31030" w:rsidP="00F821CF">
            <w:pPr>
              <w:spacing w:after="160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>Se centra en las habilidades de liderazgo, negociación, colaboración y trabajo en equipo necesarias para fortalecer las in</w:t>
            </w:r>
            <w:r>
              <w:rPr>
                <w:highlight w:val="white"/>
              </w:rPr>
              <w:t>teracciones de la comunidad educativa y el clima escolar y realizar de manera eficiente la función de dirección escolar.</w:t>
            </w:r>
            <w:r>
              <w:rPr>
                <w:highlight w:val="white"/>
                <w:vertAlign w:val="superscript"/>
              </w:rPr>
              <w:footnoteReference w:id="1"/>
            </w:r>
            <w:r>
              <w:rPr>
                <w:highlight w:val="white"/>
              </w:rPr>
              <w:t xml:space="preserve"> </w:t>
            </w:r>
          </w:p>
          <w:p w:rsidR="00F54E23" w:rsidRDefault="00C31030" w:rsidP="00F821CF">
            <w:pPr>
              <w:spacing w:after="160"/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En la tabla siguiente se indican los dominios, criterios e indicadores que </w:t>
            </w:r>
            <w:r>
              <w:rPr>
                <w:highlight w:val="white"/>
              </w:rPr>
              <w:t>se consideran imprescindibles de valorar en los aspirantes dado que guardan una estrecha relación con los conocimientos y aptitudes mencionadas, y que son susceptibles de valorar apreciar mediante este instrumento</w:t>
            </w:r>
            <w:r w:rsidR="00F821CF">
              <w:rPr>
                <w:highlight w:val="white"/>
              </w:rPr>
              <w:t>.</w:t>
            </w:r>
          </w:p>
          <w:tbl>
            <w:tblPr>
              <w:tblStyle w:val="a0"/>
              <w:tblW w:w="78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7"/>
              <w:gridCol w:w="1418"/>
              <w:gridCol w:w="5270"/>
            </w:tblGrid>
            <w:tr w:rsidR="00F54E23" w:rsidTr="00F821CF">
              <w:tc>
                <w:tcPr>
                  <w:tcW w:w="11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54E23" w:rsidRPr="00F821CF" w:rsidRDefault="00C31030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Domino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54E23" w:rsidRPr="00F821CF" w:rsidRDefault="00C31030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Criterio</w:t>
                  </w:r>
                </w:p>
              </w:tc>
              <w:tc>
                <w:tcPr>
                  <w:tcW w:w="52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54E23" w:rsidRPr="00F821CF" w:rsidRDefault="00C31030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Indicadores</w:t>
                  </w:r>
                </w:p>
              </w:tc>
            </w:tr>
            <w:tr w:rsidR="00F821CF" w:rsidTr="00F821CF">
              <w:tc>
                <w:tcPr>
                  <w:tcW w:w="11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I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1.1, 1.2, 1.3</w:t>
                  </w:r>
                </w:p>
              </w:tc>
              <w:tc>
                <w:tcPr>
                  <w:tcW w:w="52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1.1.1, 1.1.3, 1.1.5,1.2.1, 1.2.2, 1.2.3,1.2.4,1.2.5, 1.3.1, 1.3.2, 1.3.3</w:t>
                  </w:r>
                </w:p>
              </w:tc>
            </w:tr>
            <w:tr w:rsidR="00F821CF" w:rsidTr="00F821CF">
              <w:tc>
                <w:tcPr>
                  <w:tcW w:w="11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II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2.1, 2.2, 2.3</w:t>
                  </w:r>
                </w:p>
              </w:tc>
              <w:tc>
                <w:tcPr>
                  <w:tcW w:w="52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2.1.5, 2.2.1, 2.2.2, 2.2.3, 2.3.1,2.3.2, 2.3.3, 2.3.4, 2.3.5</w:t>
                  </w:r>
                </w:p>
              </w:tc>
            </w:tr>
            <w:tr w:rsidR="00F821CF" w:rsidTr="00F821CF">
              <w:tc>
                <w:tcPr>
                  <w:tcW w:w="11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III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3.1, 3.2, 3.3, 3.4</w:t>
                  </w:r>
                </w:p>
              </w:tc>
              <w:tc>
                <w:tcPr>
                  <w:tcW w:w="52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3.1.2,3.1.3,3.1.4, 3.2.2, 3.2.3, 3.2.4, 3.3.1, 3.3.4, 3.4.2, 3.4.3, 3.4.5, 3.4.5</w:t>
                  </w:r>
                </w:p>
              </w:tc>
            </w:tr>
            <w:tr w:rsidR="00F821CF" w:rsidTr="00F821CF">
              <w:tc>
                <w:tcPr>
                  <w:tcW w:w="11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left="120"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IV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4.1, 4.2, 4.3</w:t>
                  </w:r>
                </w:p>
              </w:tc>
              <w:tc>
                <w:tcPr>
                  <w:tcW w:w="52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821CF" w:rsidRPr="00F821CF" w:rsidRDefault="00F821CF" w:rsidP="00F821CF">
                  <w:pPr>
                    <w:spacing w:after="0" w:line="240" w:lineRule="auto"/>
                    <w:ind w:right="120"/>
                    <w:jc w:val="center"/>
                    <w:rPr>
                      <w:sz w:val="18"/>
                      <w:szCs w:val="18"/>
                      <w:highlight w:val="white"/>
                    </w:rPr>
                  </w:pPr>
                  <w:r w:rsidRPr="00F821CF">
                    <w:rPr>
                      <w:sz w:val="18"/>
                      <w:szCs w:val="18"/>
                      <w:highlight w:val="white"/>
                    </w:rPr>
                    <w:t>4.4.1, 4.1.2, 4.1.3, 4.1.4 4.2.1, 4.2.2, 4.2.3, 4.2.4, 4.3.1, 4.3.2, 4.3.3, 4.3.4, 4.3.5</w:t>
                  </w:r>
                </w:p>
              </w:tc>
            </w:tr>
          </w:tbl>
          <w:p w:rsidR="00F54E23" w:rsidRDefault="00F5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highlight w:val="white"/>
              </w:rPr>
            </w:pPr>
          </w:p>
        </w:tc>
      </w:tr>
      <w:tr w:rsidR="00F54E23" w:rsidTr="00F821CF">
        <w:trPr>
          <w:trHeight w:val="58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 xml:space="preserve">Población </w:t>
            </w:r>
            <w:bookmarkStart w:id="0" w:name="_GoBack"/>
            <w:bookmarkEnd w:id="0"/>
            <w:r>
              <w:t>objetivo</w:t>
            </w:r>
          </w:p>
        </w:tc>
        <w:tc>
          <w:tcPr>
            <w:tcW w:w="8641" w:type="dxa"/>
            <w:vAlign w:val="center"/>
          </w:tcPr>
          <w:p w:rsidR="00F54E23" w:rsidRDefault="00C31030" w:rsidP="00F821CF">
            <w:pPr>
              <w:rPr>
                <w:highlight w:val="white"/>
              </w:rPr>
            </w:pPr>
            <w:r>
              <w:t>Todo personal d</w:t>
            </w:r>
            <w:r>
              <w:rPr>
                <w:highlight w:val="white"/>
              </w:rPr>
              <w:t xml:space="preserve">ocente con una experiencia mínima de cuatro años, </w:t>
            </w:r>
            <w:r>
              <w:t>que decide voluntariamente participar en la convocatoria pública del proceso de selección para la promoción vertical y cumple con los requisitos establecidos en la misma. Pueden presentar esta segunda etapa</w:t>
            </w:r>
            <w:r>
              <w:t xml:space="preserve"> del proceso personal docente en:</w:t>
            </w:r>
            <w:r>
              <w:rPr>
                <w:highlight w:val="white"/>
              </w:rPr>
              <w:t xml:space="preserve"> 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rPr>
                <w:highlight w:val="white"/>
              </w:rPr>
            </w:pPr>
            <w:r>
              <w:rPr>
                <w:highlight w:val="white"/>
              </w:rPr>
              <w:t>Educación inicial: Educadora para centros de desarrollo infantil y Maestra de jardín de niños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rPr>
                <w:highlight w:val="white"/>
              </w:rPr>
            </w:pPr>
            <w:r>
              <w:rPr>
                <w:highlight w:val="white"/>
              </w:rPr>
              <w:t>Educación preescolar: Maestra de jardín de niños y Subdirectora de gestión escolar o subdirectora académica de jardín de niños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rPr>
                <w:highlight w:val="white"/>
              </w:rPr>
            </w:pPr>
            <w:r>
              <w:rPr>
                <w:highlight w:val="white"/>
              </w:rPr>
              <w:t>Educación primaria: Maestro de grupo de primaria y Subdirector de gestión escolar o subdirector académico de primaria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Educación indígena: Maestro bilingüe de educación preescolar indígena, Maestro bilingüe de educación primaria indígena y Subdirector de ge</w:t>
            </w:r>
            <w:r>
              <w:rPr>
                <w:highlight w:val="white"/>
              </w:rPr>
              <w:t>stión escolar o subdirector</w:t>
            </w:r>
            <w:r w:rsidR="00F821CF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académico de primaria indígena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jc w:val="both"/>
              <w:rPr>
                <w:highlight w:val="white"/>
              </w:rPr>
            </w:pPr>
            <w:r>
              <w:rPr>
                <w:highlight w:val="white"/>
              </w:rPr>
              <w:t>Educación secundaria: Profesor de enseñanza secundaria, Profesor de enseñanza secundaria técnica, Subdirector secretario de secundaria y Subdirector secretario o subdirector de gestión escolar de es</w:t>
            </w:r>
            <w:r>
              <w:rPr>
                <w:highlight w:val="white"/>
              </w:rPr>
              <w:t>cuela secundaria técnica, asesor técnico pedagógico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jc w:val="both"/>
              <w:rPr>
                <w:highlight w:val="white"/>
              </w:rPr>
            </w:pPr>
            <w:r>
              <w:rPr>
                <w:highlight w:val="white"/>
              </w:rPr>
              <w:t>Telesecundaria: Horas de maestro de telesecundaria, asesor técnico pedagógico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jc w:val="both"/>
              <w:rPr>
                <w:highlight w:val="white"/>
              </w:rPr>
            </w:pPr>
            <w:r>
              <w:rPr>
                <w:highlight w:val="white"/>
              </w:rPr>
              <w:t>Educación especial: Maestro de educación especial y Subdirector de gestión escolar o subdirector académico de educación especial</w:t>
            </w:r>
          </w:p>
          <w:p w:rsidR="00F54E23" w:rsidRDefault="00C31030" w:rsidP="00F821CF">
            <w:pPr>
              <w:numPr>
                <w:ilvl w:val="0"/>
                <w:numId w:val="3"/>
              </w:numPr>
              <w:ind w:left="317" w:hanging="284"/>
              <w:jc w:val="both"/>
              <w:rPr>
                <w:highlight w:val="white"/>
              </w:rPr>
            </w:pPr>
            <w:r>
              <w:rPr>
                <w:highlight w:val="white"/>
              </w:rPr>
              <w:t>Educación básica para adultos: Profesor de educación básica para adultos nocturna</w:t>
            </w:r>
          </w:p>
        </w:tc>
      </w:tr>
      <w:tr w:rsidR="00F54E23" w:rsidTr="00F821CF">
        <w:trPr>
          <w:trHeight w:val="493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 w:rsidP="00F821CF">
            <w:r>
              <w:lastRenderedPageBreak/>
              <w:t>Proceso de selección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P</w:t>
            </w:r>
            <w:r>
              <w:rPr>
                <w:highlight w:val="white"/>
              </w:rPr>
              <w:t xml:space="preserve">roceso de </w:t>
            </w:r>
            <w:r>
              <w:rPr>
                <w:highlight w:val="white"/>
              </w:rPr>
              <w:t>promoción vertical</w:t>
            </w:r>
          </w:p>
        </w:tc>
      </w:tr>
      <w:tr w:rsidR="00F54E23" w:rsidTr="00F821CF">
        <w:trPr>
          <w:trHeight w:val="58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Alcances de los resultados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numPr>
                <w:ilvl w:val="0"/>
                <w:numId w:val="1"/>
              </w:numPr>
              <w:ind w:left="317" w:hanging="283"/>
            </w:pPr>
            <w:r>
              <w:t>Para los sustentantes: Diagnóstico individual sobre el grado de experticia detectado en cada una de las habilidades, aptitudes y conocimientos valorados para la promoción vertical, permitiendo identificar las fortalezas y áreas de mejora propias que guiará</w:t>
            </w:r>
            <w:r>
              <w:t>n una búsqueda informada de oportunidades para su formación continua.</w:t>
            </w:r>
          </w:p>
          <w:p w:rsidR="00F54E23" w:rsidRDefault="00C31030">
            <w:pPr>
              <w:numPr>
                <w:ilvl w:val="0"/>
                <w:numId w:val="1"/>
              </w:numPr>
              <w:ind w:left="317" w:hanging="283"/>
            </w:pPr>
            <w:r>
              <w:t>Para las autoridades educativas federales: Diagnósticos a nivel nacional sobre el grado de experticia detectado en cada una de las habilidades, aptitudes y conocimientos valorados para l</w:t>
            </w:r>
            <w:r>
              <w:t>a promoción vertical, permitiendo identificar patrones generales en términos de las fortalezas y áreas de oportunidad detectadas en la población objetivo.</w:t>
            </w:r>
          </w:p>
          <w:p w:rsidR="00F54E23" w:rsidRDefault="00C31030">
            <w:pPr>
              <w:numPr>
                <w:ilvl w:val="0"/>
                <w:numId w:val="1"/>
              </w:numPr>
              <w:spacing w:after="160"/>
              <w:ind w:left="317" w:hanging="283"/>
            </w:pPr>
            <w:r>
              <w:t>Para las autoridades locales: Diagnósticos locales sobre el grado de experticia detectado en cada una</w:t>
            </w:r>
            <w:r>
              <w:t xml:space="preserve"> de habilidades, aptitudes y conocimientos valorados para la promoción vertical, permitiendo identificar patrones generales en las fortalezas y áreas de oportunidad identificadas, a fin de guiar el desarrollo informado de recursos para la formación continu</w:t>
            </w:r>
            <w:r>
              <w:t>a</w:t>
            </w:r>
            <w:r w:rsidR="00F821CF">
              <w:t>.</w:t>
            </w:r>
          </w:p>
        </w:tc>
      </w:tr>
      <w:tr w:rsidR="00F54E23" w:rsidTr="00F821CF">
        <w:trPr>
          <w:trHeight w:val="58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Uso de los resultados</w:t>
            </w:r>
          </w:p>
        </w:tc>
        <w:tc>
          <w:tcPr>
            <w:tcW w:w="8641" w:type="dxa"/>
            <w:vAlign w:val="center"/>
          </w:tcPr>
          <w:p w:rsidR="00F54E23" w:rsidRDefault="00C31030" w:rsidP="00F821C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Los resultados obtenidos </w:t>
            </w:r>
            <w:r>
              <w:rPr>
                <w:highlight w:val="white"/>
              </w:rPr>
              <w:t xml:space="preserve">serán ponderados en conjunto con la </w:t>
            </w:r>
            <w:r w:rsidR="00F821CF">
              <w:rPr>
                <w:highlight w:val="white"/>
              </w:rPr>
              <w:t>p</w:t>
            </w:r>
            <w:r>
              <w:rPr>
                <w:highlight w:val="white"/>
              </w:rPr>
              <w:t>rueba de conocimientos y aptitudes directivas y el resto de los factores establecidos en la Ley General del Sistema de Carrer</w:t>
            </w:r>
            <w:r>
              <w:rPr>
                <w:highlight w:val="white"/>
              </w:rPr>
              <w:t>a para las Maestras y los Maestros (LGCMM) para ordenar las listas de prelación con base en las cuales se asignarán las plazas vacantes.</w:t>
            </w:r>
          </w:p>
        </w:tc>
      </w:tr>
      <w:tr w:rsidR="00F54E23" w:rsidTr="00F821CF">
        <w:trPr>
          <w:trHeight w:val="503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Impacto (opcional)</w:t>
            </w:r>
          </w:p>
        </w:tc>
        <w:tc>
          <w:tcPr>
            <w:tcW w:w="8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4E23" w:rsidRDefault="00C31030" w:rsidP="00F821CF">
            <w:pPr>
              <w:rPr>
                <w:highlight w:val="white"/>
              </w:rPr>
            </w:pPr>
            <w:r>
              <w:rPr>
                <w:highlight w:val="white"/>
              </w:rPr>
              <w:t>Alto. A partir de los resultados obtenidos se tomarán decisiones basadas en evidencia para la promo</w:t>
            </w:r>
            <w:r>
              <w:rPr>
                <w:highlight w:val="white"/>
              </w:rPr>
              <w:t xml:space="preserve">ción en la función directiva en la Nueva Escuela Mexicana,  la selección de los perfiles más idóneos incidirán en el mejoramiento de los procesos educativos y de gestión en el ámbito educativo nacional. </w:t>
            </w:r>
          </w:p>
        </w:tc>
      </w:tr>
      <w:tr w:rsidR="00F54E23" w:rsidTr="00F821CF">
        <w:trPr>
          <w:trHeight w:val="411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Sensibilidad a la práctica</w:t>
            </w:r>
          </w:p>
        </w:tc>
        <w:tc>
          <w:tcPr>
            <w:tcW w:w="8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4E23" w:rsidRDefault="00C31030" w:rsidP="00F821C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práctica educativa en nuestro país. </w:t>
            </w:r>
          </w:p>
        </w:tc>
      </w:tr>
      <w:tr w:rsidR="00F54E23" w:rsidTr="00F821CF">
        <w:trPr>
          <w:trHeight w:val="475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Cobertura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</w:p>
        </w:tc>
      </w:tr>
      <w:tr w:rsidR="00F54E23" w:rsidTr="00F821CF">
        <w:trPr>
          <w:trHeight w:val="513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Características del instrumento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>Prueba objetiva de carácter situacional y  de aplicación de conocimientos y aptitudes. Se integra con reactivos de opción múltiple.</w:t>
            </w:r>
          </w:p>
        </w:tc>
      </w:tr>
      <w:tr w:rsidR="00F54E23" w:rsidTr="00F821CF">
        <w:trPr>
          <w:trHeight w:val="383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Tipo de respuesta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</w:p>
        </w:tc>
      </w:tr>
      <w:tr w:rsidR="00F54E23" w:rsidTr="00F821CF">
        <w:trPr>
          <w:trHeight w:val="364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Características</w:t>
            </w:r>
          </w:p>
        </w:tc>
        <w:tc>
          <w:tcPr>
            <w:tcW w:w="8641" w:type="dxa"/>
            <w:vAlign w:val="center"/>
          </w:tcPr>
          <w:p w:rsidR="00F54E23" w:rsidRDefault="00C31030" w:rsidP="00F821C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estructurada y de tipo escrito, compuesta por </w:t>
            </w:r>
            <w:r w:rsidR="00F821CF">
              <w:rPr>
                <w:highlight w:val="white"/>
              </w:rPr>
              <w:t>í</w:t>
            </w:r>
            <w:r>
              <w:rPr>
                <w:highlight w:val="white"/>
              </w:rPr>
              <w:t>tems de opción múltiple que abarcan las siguientes destrezas evaluadas: liderazgo, negociación, colaboración y trabajo en equipo.</w:t>
            </w:r>
          </w:p>
        </w:tc>
      </w:tr>
      <w:tr w:rsidR="00F54E23" w:rsidTr="00F821CF">
        <w:trPr>
          <w:trHeight w:val="419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Requisitos para la aplicación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numPr>
                <w:ilvl w:val="0"/>
                <w:numId w:val="2"/>
              </w:numPr>
              <w:ind w:left="317" w:hanging="283"/>
              <w:rPr>
                <w:highlight w:val="white"/>
              </w:rPr>
            </w:pPr>
            <w:bookmarkStart w:id="1" w:name="_gjdgxs" w:colFirst="0" w:colLast="0"/>
            <w:bookmarkEnd w:id="1"/>
            <w:r>
              <w:rPr>
                <w:highlight w:val="white"/>
              </w:rPr>
              <w:t>Docente con una experiencia mínima de cua</w:t>
            </w:r>
            <w:r>
              <w:rPr>
                <w:highlight w:val="white"/>
              </w:rPr>
              <w:t xml:space="preserve">tro años </w:t>
            </w:r>
          </w:p>
          <w:p w:rsidR="00F54E23" w:rsidRDefault="00C31030">
            <w:pPr>
              <w:numPr>
                <w:ilvl w:val="0"/>
                <w:numId w:val="2"/>
              </w:numPr>
              <w:ind w:left="317" w:hanging="283"/>
              <w:rPr>
                <w:highlight w:val="white"/>
              </w:rPr>
            </w:pPr>
            <w:bookmarkStart w:id="2" w:name="_38241gpg7ipt" w:colFirst="0" w:colLast="0"/>
            <w:bookmarkEnd w:id="2"/>
            <w:r>
              <w:rPr>
                <w:highlight w:val="white"/>
              </w:rPr>
              <w:t xml:space="preserve">Docente con nombramiento definitivo </w:t>
            </w:r>
          </w:p>
        </w:tc>
      </w:tr>
      <w:tr w:rsidR="00F54E23" w:rsidTr="00F821CF">
        <w:trPr>
          <w:trHeight w:val="549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lastRenderedPageBreak/>
              <w:t>Tipo de aplicación</w:t>
            </w:r>
          </w:p>
        </w:tc>
        <w:tc>
          <w:tcPr>
            <w:tcW w:w="8641" w:type="dxa"/>
            <w:vAlign w:val="center"/>
          </w:tcPr>
          <w:p w:rsidR="00F54E23" w:rsidRDefault="00F821CF">
            <w:pPr>
              <w:spacing w:after="160"/>
              <w:jc w:val="both"/>
              <w:rPr>
                <w:highlight w:val="white"/>
              </w:rPr>
            </w:pPr>
            <w:r>
              <w:rPr>
                <w:highlight w:val="white"/>
              </w:rPr>
              <w:t>E</w:t>
            </w:r>
            <w:r w:rsidR="00C31030">
              <w:rPr>
                <w:highlight w:val="white"/>
              </w:rPr>
              <w:t xml:space="preserve">n línea mediante una plataforma.  </w:t>
            </w:r>
          </w:p>
        </w:tc>
      </w:tr>
      <w:tr w:rsidR="00F54E23" w:rsidTr="00F821CF">
        <w:trPr>
          <w:trHeight w:val="415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Duración de la aplicación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</w:p>
        </w:tc>
      </w:tr>
      <w:tr w:rsidR="00F54E23" w:rsidTr="00F821CF">
        <w:trPr>
          <w:trHeight w:val="38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Número de sesiones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Una sesión </w:t>
            </w:r>
          </w:p>
        </w:tc>
      </w:tr>
      <w:tr w:rsidR="00F54E23" w:rsidTr="00F821CF">
        <w:trPr>
          <w:trHeight w:val="46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Longitud del instrumento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spacing w:after="160"/>
              <w:rPr>
                <w:highlight w:val="white"/>
              </w:rPr>
            </w:pPr>
            <w:r>
              <w:rPr>
                <w:highlight w:val="white"/>
              </w:rPr>
              <w:t>El instrumento se integrará a partir de preguntas de opción múltiple que  garanticen la adecuada exploración de las siguientes destrezas: liderazgo, negociación, colaboración y trabajo en equipo</w:t>
            </w:r>
            <w:r w:rsidR="00F821C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orientadas  a fortalecer las interacciones de la comunidad ed</w:t>
            </w:r>
            <w:r>
              <w:rPr>
                <w:highlight w:val="white"/>
              </w:rPr>
              <w:t>ucativa y el clima escolar.</w:t>
            </w:r>
          </w:p>
        </w:tc>
      </w:tr>
      <w:tr w:rsidR="00F54E23" w:rsidTr="00F821CF">
        <w:trPr>
          <w:trHeight w:val="899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Modelo de medición</w:t>
            </w:r>
          </w:p>
        </w:tc>
        <w:tc>
          <w:tcPr>
            <w:tcW w:w="8641" w:type="dxa"/>
            <w:vAlign w:val="center"/>
          </w:tcPr>
          <w:p w:rsidR="00F54E23" w:rsidRDefault="00C31030" w:rsidP="00F821CF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Teoría de Respuesta al Ítem (TRI), de manera que permita traducir las puntuaciones registradas por cada participante en información integrada y general sobre su propio ejercicio de valoración.</w:t>
            </w:r>
          </w:p>
        </w:tc>
      </w:tr>
      <w:tr w:rsidR="00F54E23" w:rsidTr="00F821CF">
        <w:trPr>
          <w:trHeight w:val="37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 xml:space="preserve">Propiedades estadísticas deseadas 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directivas, se integra con reactivos de opción múltiple. A partir de los puntajes de los elementos multifactoriales considerados para la valoración se integran los resultados del proceso de se</w:t>
            </w:r>
            <w:r>
              <w:rPr>
                <w:highlight w:val="white"/>
              </w:rPr>
              <w:t xml:space="preserve">lección. </w:t>
            </w:r>
          </w:p>
        </w:tc>
      </w:tr>
      <w:tr w:rsidR="00F54E23" w:rsidTr="00F821CF">
        <w:trPr>
          <w:trHeight w:val="377"/>
        </w:trPr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Evidencias adicionales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Para el caso la valoración de habilidades  directivas no existen evidencias adicionales al cuestionario.</w:t>
            </w:r>
          </w:p>
        </w:tc>
      </w:tr>
      <w:tr w:rsidR="00F54E23" w:rsidTr="00F821CF">
        <w:tc>
          <w:tcPr>
            <w:tcW w:w="1707" w:type="dxa"/>
            <w:shd w:val="clear" w:color="auto" w:fill="E2EFD9"/>
            <w:vAlign w:val="center"/>
          </w:tcPr>
          <w:p w:rsidR="00F54E23" w:rsidRDefault="00C31030">
            <w:r>
              <w:t>Devolución de resultados:</w:t>
            </w:r>
          </w:p>
        </w:tc>
        <w:tc>
          <w:tcPr>
            <w:tcW w:w="8641" w:type="dxa"/>
            <w:vAlign w:val="center"/>
          </w:tcPr>
          <w:p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:rsidR="00F54E23" w:rsidRDefault="00F54E23">
      <w:pPr>
        <w:spacing w:line="240" w:lineRule="auto"/>
        <w:rPr>
          <w:highlight w:val="white"/>
        </w:rPr>
      </w:pPr>
    </w:p>
    <w:p w:rsidR="00F54E23" w:rsidRDefault="00F54E23">
      <w:pPr>
        <w:spacing w:line="240" w:lineRule="auto"/>
        <w:jc w:val="both"/>
      </w:pPr>
      <w:bookmarkStart w:id="3" w:name="_3znysh7" w:colFirst="0" w:colLast="0"/>
      <w:bookmarkEnd w:id="3"/>
    </w:p>
    <w:sectPr w:rsidR="00F54E23">
      <w:pgSz w:w="12240" w:h="15840"/>
      <w:pgMar w:top="1440" w:right="758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30" w:rsidRDefault="00C31030">
      <w:pPr>
        <w:spacing w:after="0" w:line="240" w:lineRule="auto"/>
      </w:pPr>
      <w:r>
        <w:separator/>
      </w:r>
    </w:p>
  </w:endnote>
  <w:endnote w:type="continuationSeparator" w:id="0">
    <w:p w:rsidR="00C31030" w:rsidRDefault="00C3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30" w:rsidRDefault="00C31030">
      <w:pPr>
        <w:spacing w:after="0" w:line="240" w:lineRule="auto"/>
      </w:pPr>
      <w:r>
        <w:separator/>
      </w:r>
    </w:p>
  </w:footnote>
  <w:footnote w:type="continuationSeparator" w:id="0">
    <w:p w:rsidR="00C31030" w:rsidRDefault="00C31030">
      <w:pPr>
        <w:spacing w:after="0" w:line="240" w:lineRule="auto"/>
      </w:pPr>
      <w:r>
        <w:continuationSeparator/>
      </w:r>
    </w:p>
  </w:footnote>
  <w:footnote w:id="1">
    <w:p w:rsidR="00F54E23" w:rsidRDefault="00C31030">
      <w:pPr>
        <w:spacing w:after="0" w:line="240" w:lineRule="auto"/>
        <w:rPr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  <w:highlight w:val="white"/>
        </w:rPr>
        <w:t xml:space="preserve"> SEP (2019).</w:t>
      </w:r>
      <w:r>
        <w:rPr>
          <w:i/>
          <w:sz w:val="20"/>
          <w:szCs w:val="20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20"/>
          <w:szCs w:val="20"/>
          <w:highlight w:val="white"/>
        </w:rPr>
        <w:t xml:space="preserve">. </w:t>
      </w:r>
      <w:r>
        <w:rPr>
          <w:i/>
          <w:sz w:val="20"/>
          <w:szCs w:val="20"/>
          <w:highlight w:val="white"/>
        </w:rPr>
        <w:t>Promoción Vertica</w:t>
      </w:r>
      <w:r>
        <w:rPr>
          <w:sz w:val="20"/>
          <w:szCs w:val="20"/>
          <w:highlight w:val="white"/>
        </w:rPr>
        <w:t>l p.13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23"/>
    <w:rsid w:val="00C31030"/>
    <w:rsid w:val="00F54E23"/>
    <w:rsid w:val="00F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FE3BB-68B5-468A-BEC3-DBD493C1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2</cp:revision>
  <dcterms:created xsi:type="dcterms:W3CDTF">2020-01-20T17:34:00Z</dcterms:created>
  <dcterms:modified xsi:type="dcterms:W3CDTF">2020-01-20T17:34:00Z</dcterms:modified>
</cp:coreProperties>
</file>