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F1B" w:rsidRPr="00DB5C76" w:rsidRDefault="00EF1F1B" w:rsidP="008D6245">
      <w:pPr>
        <w:spacing w:after="0"/>
        <w:jc w:val="center"/>
        <w:rPr>
          <w:b/>
          <w:color w:val="215868" w:themeColor="accent5" w:themeShade="80"/>
          <w:sz w:val="28"/>
          <w:szCs w:val="28"/>
        </w:rPr>
      </w:pPr>
      <w:r w:rsidRPr="00DB5C76">
        <w:rPr>
          <w:b/>
          <w:color w:val="215868" w:themeColor="accent5" w:themeShade="80"/>
          <w:sz w:val="28"/>
          <w:szCs w:val="28"/>
        </w:rPr>
        <w:t>Ficha técnica</w:t>
      </w:r>
    </w:p>
    <w:p w:rsidR="00EF1F1B" w:rsidRDefault="00EF1F1B" w:rsidP="00EF1F1B">
      <w:pPr>
        <w:spacing w:after="0" w:line="240" w:lineRule="auto"/>
        <w:jc w:val="center"/>
        <w:rPr>
          <w:color w:val="215868" w:themeColor="accent5" w:themeShade="80"/>
          <w:sz w:val="28"/>
          <w:szCs w:val="28"/>
        </w:rPr>
      </w:pPr>
      <w:r w:rsidRPr="00DB5C76">
        <w:rPr>
          <w:color w:val="215868" w:themeColor="accent5" w:themeShade="80"/>
          <w:sz w:val="28"/>
          <w:szCs w:val="28"/>
        </w:rPr>
        <w:t>Instrumentos de valoración del Sistema de Apreciación de Conocimientos y Aptitudes</w:t>
      </w:r>
    </w:p>
    <w:p w:rsidR="00EF1F1B" w:rsidRDefault="00EF1F1B" w:rsidP="00EF1F1B">
      <w:pPr>
        <w:spacing w:after="0" w:line="240" w:lineRule="auto"/>
        <w:jc w:val="center"/>
        <w:rPr>
          <w:color w:val="215868" w:themeColor="accent5" w:themeShade="80"/>
          <w:sz w:val="28"/>
          <w:szCs w:val="28"/>
        </w:rPr>
      </w:pPr>
      <w:r w:rsidRPr="00DB5C76">
        <w:rPr>
          <w:color w:val="215868" w:themeColor="accent5" w:themeShade="80"/>
          <w:sz w:val="28"/>
          <w:szCs w:val="28"/>
        </w:rPr>
        <w:t xml:space="preserve"> </w:t>
      </w:r>
    </w:p>
    <w:tbl>
      <w:tblPr>
        <w:tblStyle w:val="a"/>
        <w:tblW w:w="10348" w:type="dxa"/>
        <w:tblInd w:w="-147"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2274"/>
        <w:gridCol w:w="8074"/>
      </w:tblGrid>
      <w:tr w:rsidR="003B4ED9">
        <w:trPr>
          <w:trHeight w:val="509"/>
        </w:trPr>
        <w:tc>
          <w:tcPr>
            <w:tcW w:w="2274" w:type="dxa"/>
            <w:shd w:val="clear" w:color="auto" w:fill="E2EFD9"/>
            <w:vAlign w:val="center"/>
          </w:tcPr>
          <w:p w:rsidR="003B4ED9" w:rsidRDefault="00C63F7E">
            <w:r>
              <w:t>Nombre</w:t>
            </w:r>
          </w:p>
        </w:tc>
        <w:tc>
          <w:tcPr>
            <w:tcW w:w="8074" w:type="dxa"/>
            <w:vAlign w:val="center"/>
          </w:tcPr>
          <w:p w:rsidR="003B4ED9" w:rsidRDefault="003B4ED9">
            <w:pPr>
              <w:rPr>
                <w:highlight w:val="white"/>
              </w:rPr>
            </w:pPr>
          </w:p>
          <w:p w:rsidR="003B4ED9" w:rsidRDefault="00C63F7E">
            <w:pPr>
              <w:rPr>
                <w:highlight w:val="white"/>
              </w:rPr>
            </w:pPr>
            <w:r>
              <w:rPr>
                <w:highlight w:val="white"/>
              </w:rPr>
              <w:t>Cuestionario de habilidades directivas para aspirantes a la función de supervisión</w:t>
            </w:r>
          </w:p>
        </w:tc>
      </w:tr>
      <w:tr w:rsidR="003B4ED9">
        <w:trPr>
          <w:trHeight w:val="459"/>
        </w:trPr>
        <w:tc>
          <w:tcPr>
            <w:tcW w:w="2274" w:type="dxa"/>
            <w:shd w:val="clear" w:color="auto" w:fill="E2EFD9"/>
            <w:vAlign w:val="center"/>
          </w:tcPr>
          <w:p w:rsidR="003B4ED9" w:rsidRDefault="00C63F7E">
            <w:r>
              <w:t>Clave interna</w:t>
            </w:r>
          </w:p>
        </w:tc>
        <w:tc>
          <w:tcPr>
            <w:tcW w:w="8074" w:type="dxa"/>
            <w:vAlign w:val="center"/>
          </w:tcPr>
          <w:p w:rsidR="003B4ED9" w:rsidRDefault="00C63F7E">
            <w:pPr>
              <w:rPr>
                <w:highlight w:val="cyan"/>
              </w:rPr>
            </w:pPr>
            <w:r>
              <w:rPr>
                <w:highlight w:val="cyan"/>
              </w:rPr>
              <w:t>Por definir</w:t>
            </w:r>
          </w:p>
        </w:tc>
      </w:tr>
      <w:tr w:rsidR="003B4ED9">
        <w:trPr>
          <w:trHeight w:val="372"/>
        </w:trPr>
        <w:tc>
          <w:tcPr>
            <w:tcW w:w="2274" w:type="dxa"/>
            <w:shd w:val="clear" w:color="auto" w:fill="E2EFD9"/>
            <w:vAlign w:val="center"/>
          </w:tcPr>
          <w:p w:rsidR="003B4ED9" w:rsidRDefault="00C63F7E">
            <w:r>
              <w:t>Inicio de operación</w:t>
            </w:r>
          </w:p>
        </w:tc>
        <w:tc>
          <w:tcPr>
            <w:tcW w:w="8074" w:type="dxa"/>
            <w:vAlign w:val="center"/>
          </w:tcPr>
          <w:p w:rsidR="003B4ED9" w:rsidRDefault="00C63F7E">
            <w:pPr>
              <w:rPr>
                <w:highlight w:val="white"/>
              </w:rPr>
            </w:pPr>
            <w:r>
              <w:rPr>
                <w:highlight w:val="white"/>
              </w:rPr>
              <w:t xml:space="preserve">2020-2022  </w:t>
            </w:r>
          </w:p>
        </w:tc>
      </w:tr>
      <w:tr w:rsidR="003B4ED9">
        <w:trPr>
          <w:trHeight w:val="492"/>
        </w:trPr>
        <w:tc>
          <w:tcPr>
            <w:tcW w:w="2274" w:type="dxa"/>
            <w:shd w:val="clear" w:color="auto" w:fill="E2EFD9"/>
            <w:vAlign w:val="center"/>
          </w:tcPr>
          <w:p w:rsidR="003B4ED9" w:rsidRDefault="00C63F7E">
            <w:r>
              <w:t>Propósito</w:t>
            </w:r>
          </w:p>
        </w:tc>
        <w:tc>
          <w:tcPr>
            <w:tcW w:w="8074" w:type="dxa"/>
            <w:vAlign w:val="center"/>
          </w:tcPr>
          <w:p w:rsidR="003B4ED9" w:rsidRDefault="00C63F7E">
            <w:pPr>
              <w:spacing w:after="160"/>
              <w:jc w:val="both"/>
              <w:rPr>
                <w:highlight w:val="white"/>
              </w:rPr>
            </w:pPr>
            <w:r>
              <w:t>Valorar las habilidades, creencias y valores necesarios para el ejercicio de la función de supervisión que poseen los aspirantes a ser seleccionados a la promoción vertical, conforme a los perfiles profesionales correspondientes que constituyen e</w:t>
            </w:r>
            <w:r>
              <w:t>l referente principal respecto de lo que requieren saber y saber hacer los aspirantes a desempeñar dicha función.</w:t>
            </w:r>
          </w:p>
        </w:tc>
      </w:tr>
      <w:tr w:rsidR="003B4ED9">
        <w:trPr>
          <w:trHeight w:val="587"/>
        </w:trPr>
        <w:tc>
          <w:tcPr>
            <w:tcW w:w="2274" w:type="dxa"/>
            <w:shd w:val="clear" w:color="auto" w:fill="E2EFD9"/>
            <w:vAlign w:val="center"/>
          </w:tcPr>
          <w:p w:rsidR="003B4ED9" w:rsidRDefault="00C63F7E">
            <w:r>
              <w:t>Objeto de evaluación</w:t>
            </w:r>
          </w:p>
        </w:tc>
        <w:tc>
          <w:tcPr>
            <w:tcW w:w="8074" w:type="dxa"/>
            <w:vAlign w:val="center"/>
          </w:tcPr>
          <w:p w:rsidR="003B4ED9" w:rsidRDefault="00C63F7E">
            <w:pPr>
              <w:spacing w:after="160"/>
              <w:rPr>
                <w:sz w:val="20"/>
                <w:szCs w:val="20"/>
                <w:highlight w:val="white"/>
              </w:rPr>
            </w:pPr>
            <w:r>
              <w:rPr>
                <w:highlight w:val="white"/>
              </w:rPr>
              <w:t xml:space="preserve">Se centra en las habilidades de liderazgo, negociación, colaboración y trabajo en equipo necesarias para fortalecer las </w:t>
            </w:r>
            <w:r>
              <w:rPr>
                <w:highlight w:val="white"/>
              </w:rPr>
              <w:t>interacciones de la comunidad educativa y el clima escolar y realizar de manera eficiente la función de supervisor escolar.</w:t>
            </w:r>
            <w:r>
              <w:rPr>
                <w:highlight w:val="white"/>
                <w:vertAlign w:val="superscript"/>
              </w:rPr>
              <w:footnoteReference w:id="1"/>
            </w:r>
          </w:p>
          <w:p w:rsidR="003B4ED9" w:rsidRDefault="00C63F7E">
            <w:pPr>
              <w:spacing w:after="160"/>
              <w:jc w:val="both"/>
              <w:rPr>
                <w:highlight w:val="white"/>
              </w:rPr>
            </w:pPr>
            <w:r>
              <w:rPr>
                <w:color w:val="222222"/>
                <w:highlight w:val="white"/>
              </w:rPr>
              <w:t xml:space="preserve">En la tabla siguiente se indican los dominios, criterios e indicadores que </w:t>
            </w:r>
            <w:r>
              <w:rPr>
                <w:highlight w:val="white"/>
              </w:rPr>
              <w:t>se consideran imprescindibles de valorar en los aspirantes dado que guardan una estrecha relación con los conocimientos y aptitudes mencionadas, y que son susceptibles de valorar apreciar mediante este instrumento.</w:t>
            </w:r>
          </w:p>
          <w:tbl>
            <w:tblPr>
              <w:tblW w:w="7683" w:type="dxa"/>
              <w:jc w:val="center"/>
              <w:tblLayout w:type="fixed"/>
              <w:tblCellMar>
                <w:left w:w="70" w:type="dxa"/>
                <w:right w:w="70" w:type="dxa"/>
              </w:tblCellMar>
              <w:tblLook w:val="04A0" w:firstRow="1" w:lastRow="0" w:firstColumn="1" w:lastColumn="0" w:noHBand="0" w:noVBand="1"/>
            </w:tblPr>
            <w:tblGrid>
              <w:gridCol w:w="921"/>
              <w:gridCol w:w="1595"/>
              <w:gridCol w:w="5167"/>
            </w:tblGrid>
            <w:tr w:rsidR="00EF1F1B" w:rsidRPr="0070185C" w:rsidTr="008D6245">
              <w:trPr>
                <w:trHeight w:val="330"/>
                <w:jc w:val="center"/>
              </w:trPr>
              <w:tc>
                <w:tcPr>
                  <w:tcW w:w="921" w:type="dxa"/>
                  <w:tcBorders>
                    <w:top w:val="single" w:sz="4" w:space="0" w:color="auto"/>
                    <w:left w:val="single" w:sz="4" w:space="0" w:color="auto"/>
                    <w:bottom w:val="nil"/>
                    <w:right w:val="single" w:sz="4" w:space="0" w:color="auto"/>
                  </w:tcBorders>
                  <w:shd w:val="clear" w:color="auto" w:fill="auto"/>
                  <w:vAlign w:val="center"/>
                  <w:hideMark/>
                </w:tcPr>
                <w:p w:rsidR="00EF1F1B" w:rsidRPr="00EF1F1B" w:rsidRDefault="00EF1F1B" w:rsidP="00EF1F1B">
                  <w:pPr>
                    <w:spacing w:after="0" w:line="240" w:lineRule="auto"/>
                    <w:jc w:val="center"/>
                    <w:rPr>
                      <w:rFonts w:eastAsia="Times New Roman" w:cs="Times New Roman"/>
                      <w:bCs/>
                      <w:sz w:val="18"/>
                      <w:szCs w:val="18"/>
                    </w:rPr>
                  </w:pPr>
                  <w:r w:rsidRPr="00EF1F1B">
                    <w:rPr>
                      <w:rFonts w:eastAsia="Times New Roman" w:cs="Times New Roman"/>
                      <w:bCs/>
                      <w:sz w:val="18"/>
                      <w:szCs w:val="18"/>
                    </w:rPr>
                    <w:t>Dominio</w:t>
                  </w:r>
                </w:p>
              </w:tc>
              <w:tc>
                <w:tcPr>
                  <w:tcW w:w="1595" w:type="dxa"/>
                  <w:tcBorders>
                    <w:top w:val="single" w:sz="4" w:space="0" w:color="auto"/>
                    <w:left w:val="nil"/>
                    <w:bottom w:val="nil"/>
                    <w:right w:val="single" w:sz="4" w:space="0" w:color="auto"/>
                  </w:tcBorders>
                  <w:shd w:val="clear" w:color="auto" w:fill="auto"/>
                  <w:vAlign w:val="center"/>
                  <w:hideMark/>
                </w:tcPr>
                <w:p w:rsidR="00EF1F1B" w:rsidRPr="00EF1F1B" w:rsidRDefault="00EF1F1B" w:rsidP="00EF1F1B">
                  <w:pPr>
                    <w:spacing w:after="0" w:line="240" w:lineRule="auto"/>
                    <w:jc w:val="center"/>
                    <w:rPr>
                      <w:rFonts w:eastAsia="Times New Roman" w:cs="Times New Roman"/>
                      <w:bCs/>
                      <w:sz w:val="18"/>
                      <w:szCs w:val="18"/>
                    </w:rPr>
                  </w:pPr>
                  <w:r w:rsidRPr="00EF1F1B">
                    <w:rPr>
                      <w:rFonts w:eastAsia="Times New Roman" w:cs="Times New Roman"/>
                      <w:bCs/>
                      <w:sz w:val="18"/>
                      <w:szCs w:val="18"/>
                    </w:rPr>
                    <w:t>Criterio</w:t>
                  </w:r>
                </w:p>
              </w:tc>
              <w:tc>
                <w:tcPr>
                  <w:tcW w:w="5167" w:type="dxa"/>
                  <w:tcBorders>
                    <w:top w:val="single" w:sz="4" w:space="0" w:color="auto"/>
                    <w:left w:val="nil"/>
                    <w:bottom w:val="nil"/>
                    <w:right w:val="single" w:sz="4" w:space="0" w:color="auto"/>
                  </w:tcBorders>
                  <w:shd w:val="clear" w:color="auto" w:fill="auto"/>
                  <w:vAlign w:val="center"/>
                  <w:hideMark/>
                </w:tcPr>
                <w:p w:rsidR="00EF1F1B" w:rsidRPr="00EF1F1B" w:rsidRDefault="00EF1F1B" w:rsidP="00EF1F1B">
                  <w:pPr>
                    <w:spacing w:after="0" w:line="240" w:lineRule="auto"/>
                    <w:jc w:val="center"/>
                    <w:rPr>
                      <w:rFonts w:eastAsia="Times New Roman" w:cs="Times New Roman"/>
                      <w:bCs/>
                      <w:color w:val="000000"/>
                      <w:sz w:val="18"/>
                      <w:szCs w:val="18"/>
                    </w:rPr>
                  </w:pPr>
                  <w:r w:rsidRPr="00EF1F1B">
                    <w:rPr>
                      <w:rFonts w:eastAsia="Times New Roman" w:cs="Times New Roman"/>
                      <w:bCs/>
                      <w:color w:val="000000"/>
                      <w:sz w:val="18"/>
                      <w:szCs w:val="18"/>
                    </w:rPr>
                    <w:t>Indicadores</w:t>
                  </w:r>
                </w:p>
              </w:tc>
            </w:tr>
            <w:tr w:rsidR="00EF1F1B" w:rsidRPr="0070185C" w:rsidTr="00C965EB">
              <w:trPr>
                <w:trHeight w:val="302"/>
                <w:jc w:val="center"/>
              </w:trPr>
              <w:tc>
                <w:tcPr>
                  <w:tcW w:w="9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F1F1B" w:rsidRPr="00EF1F1B" w:rsidRDefault="00EF1F1B" w:rsidP="00EF1F1B">
                  <w:pPr>
                    <w:widowControl w:val="0"/>
                    <w:spacing w:after="0" w:line="240" w:lineRule="auto"/>
                    <w:jc w:val="center"/>
                    <w:rPr>
                      <w:sz w:val="18"/>
                      <w:szCs w:val="18"/>
                    </w:rPr>
                  </w:pPr>
                  <w:r w:rsidRPr="00EF1F1B">
                    <w:rPr>
                      <w:sz w:val="18"/>
                      <w:szCs w:val="18"/>
                    </w:rPr>
                    <w:t>I</w:t>
                  </w:r>
                </w:p>
              </w:tc>
              <w:tc>
                <w:tcPr>
                  <w:tcW w:w="1595" w:type="dxa"/>
                  <w:tcBorders>
                    <w:top w:val="single" w:sz="4" w:space="0" w:color="auto"/>
                    <w:left w:val="nil"/>
                    <w:bottom w:val="single" w:sz="4" w:space="0" w:color="auto"/>
                    <w:right w:val="single" w:sz="4" w:space="0" w:color="auto"/>
                  </w:tcBorders>
                  <w:shd w:val="clear" w:color="auto" w:fill="auto"/>
                  <w:vAlign w:val="center"/>
                  <w:hideMark/>
                </w:tcPr>
                <w:p w:rsidR="00EF1F1B" w:rsidRPr="00EF1F1B" w:rsidRDefault="00EF1F1B" w:rsidP="00EF1F1B">
                  <w:pPr>
                    <w:widowControl w:val="0"/>
                    <w:spacing w:after="0" w:line="240" w:lineRule="auto"/>
                    <w:rPr>
                      <w:sz w:val="18"/>
                      <w:szCs w:val="18"/>
                    </w:rPr>
                  </w:pPr>
                  <w:r w:rsidRPr="00EF1F1B">
                    <w:rPr>
                      <w:sz w:val="18"/>
                      <w:szCs w:val="18"/>
                    </w:rPr>
                    <w:t>1.1, 1.2, 1.3</w:t>
                  </w:r>
                </w:p>
              </w:tc>
              <w:tc>
                <w:tcPr>
                  <w:tcW w:w="5167" w:type="dxa"/>
                  <w:tcBorders>
                    <w:top w:val="single" w:sz="4" w:space="0" w:color="auto"/>
                    <w:left w:val="nil"/>
                    <w:bottom w:val="single" w:sz="4" w:space="0" w:color="auto"/>
                    <w:right w:val="single" w:sz="4" w:space="0" w:color="auto"/>
                  </w:tcBorders>
                  <w:shd w:val="clear" w:color="auto" w:fill="auto"/>
                  <w:vAlign w:val="center"/>
                  <w:hideMark/>
                </w:tcPr>
                <w:p w:rsidR="00EF1F1B" w:rsidRPr="00EF1F1B" w:rsidRDefault="00EF1F1B" w:rsidP="00EF1F1B">
                  <w:pPr>
                    <w:widowControl w:val="0"/>
                    <w:spacing w:after="0" w:line="240" w:lineRule="auto"/>
                    <w:rPr>
                      <w:sz w:val="18"/>
                      <w:szCs w:val="18"/>
                    </w:rPr>
                  </w:pPr>
                  <w:r w:rsidRPr="00EF1F1B">
                    <w:rPr>
                      <w:sz w:val="18"/>
                      <w:szCs w:val="18"/>
                    </w:rPr>
                    <w:t>1.1.1, 1.1.3, 1.1.5, 1.2.1, 1.2.2, 1.2.3, 1.2.4, 1.3.2, 1.3.3</w:t>
                  </w:r>
                </w:p>
              </w:tc>
            </w:tr>
            <w:tr w:rsidR="00EF1F1B" w:rsidRPr="0070185C" w:rsidTr="00171543">
              <w:trPr>
                <w:trHeight w:val="267"/>
                <w:jc w:val="center"/>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EF1F1B" w:rsidRPr="00EF1F1B" w:rsidRDefault="00EF1F1B" w:rsidP="00EF1F1B">
                  <w:pPr>
                    <w:widowControl w:val="0"/>
                    <w:spacing w:after="0" w:line="240" w:lineRule="auto"/>
                    <w:jc w:val="center"/>
                    <w:rPr>
                      <w:sz w:val="18"/>
                      <w:szCs w:val="18"/>
                    </w:rPr>
                  </w:pPr>
                  <w:r w:rsidRPr="00EF1F1B">
                    <w:rPr>
                      <w:sz w:val="18"/>
                      <w:szCs w:val="18"/>
                    </w:rPr>
                    <w:t>II</w:t>
                  </w:r>
                </w:p>
              </w:tc>
              <w:tc>
                <w:tcPr>
                  <w:tcW w:w="1595" w:type="dxa"/>
                  <w:tcBorders>
                    <w:top w:val="nil"/>
                    <w:left w:val="nil"/>
                    <w:bottom w:val="single" w:sz="4" w:space="0" w:color="auto"/>
                    <w:right w:val="single" w:sz="4" w:space="0" w:color="auto"/>
                  </w:tcBorders>
                  <w:shd w:val="clear" w:color="auto" w:fill="auto"/>
                  <w:vAlign w:val="center"/>
                  <w:hideMark/>
                </w:tcPr>
                <w:p w:rsidR="00EF1F1B" w:rsidRPr="00EF1F1B" w:rsidRDefault="00EF1F1B" w:rsidP="00EF1F1B">
                  <w:pPr>
                    <w:widowControl w:val="0"/>
                    <w:spacing w:after="0" w:line="240" w:lineRule="auto"/>
                    <w:rPr>
                      <w:sz w:val="18"/>
                      <w:szCs w:val="18"/>
                    </w:rPr>
                  </w:pPr>
                  <w:r w:rsidRPr="00EF1F1B">
                    <w:rPr>
                      <w:sz w:val="18"/>
                      <w:szCs w:val="18"/>
                    </w:rPr>
                    <w:t>2.1, 2.2, 2.3</w:t>
                  </w:r>
                </w:p>
              </w:tc>
              <w:tc>
                <w:tcPr>
                  <w:tcW w:w="5167" w:type="dxa"/>
                  <w:tcBorders>
                    <w:top w:val="nil"/>
                    <w:left w:val="nil"/>
                    <w:bottom w:val="single" w:sz="4" w:space="0" w:color="auto"/>
                    <w:right w:val="single" w:sz="4" w:space="0" w:color="auto"/>
                  </w:tcBorders>
                  <w:shd w:val="clear" w:color="auto" w:fill="auto"/>
                  <w:vAlign w:val="center"/>
                  <w:hideMark/>
                </w:tcPr>
                <w:p w:rsidR="00EF1F1B" w:rsidRPr="00EF1F1B" w:rsidRDefault="00EF1F1B" w:rsidP="00EF1F1B">
                  <w:pPr>
                    <w:widowControl w:val="0"/>
                    <w:spacing w:after="0" w:line="240" w:lineRule="auto"/>
                    <w:rPr>
                      <w:sz w:val="18"/>
                      <w:szCs w:val="18"/>
                    </w:rPr>
                  </w:pPr>
                  <w:r w:rsidRPr="00EF1F1B">
                    <w:rPr>
                      <w:sz w:val="18"/>
                      <w:szCs w:val="18"/>
                    </w:rPr>
                    <w:t>2.1.2, 2.2.1, 2.2.2, 2.2.3, 2.2.4, 2.3.2, 2.3.3</w:t>
                  </w:r>
                </w:p>
              </w:tc>
            </w:tr>
            <w:tr w:rsidR="00EF1F1B" w:rsidRPr="0070185C" w:rsidTr="0053490E">
              <w:trPr>
                <w:trHeight w:val="423"/>
                <w:jc w:val="center"/>
              </w:trPr>
              <w:tc>
                <w:tcPr>
                  <w:tcW w:w="921" w:type="dxa"/>
                  <w:tcBorders>
                    <w:top w:val="nil"/>
                    <w:left w:val="single" w:sz="4" w:space="0" w:color="auto"/>
                    <w:bottom w:val="single" w:sz="4" w:space="0" w:color="auto"/>
                    <w:right w:val="single" w:sz="4" w:space="0" w:color="auto"/>
                  </w:tcBorders>
                  <w:shd w:val="clear" w:color="auto" w:fill="auto"/>
                  <w:vAlign w:val="center"/>
                </w:tcPr>
                <w:p w:rsidR="00EF1F1B" w:rsidRPr="00EF1F1B" w:rsidRDefault="00EF1F1B" w:rsidP="00EF1F1B">
                  <w:pPr>
                    <w:widowControl w:val="0"/>
                    <w:spacing w:after="0" w:line="240" w:lineRule="auto"/>
                    <w:jc w:val="center"/>
                    <w:rPr>
                      <w:sz w:val="18"/>
                      <w:szCs w:val="18"/>
                    </w:rPr>
                  </w:pPr>
                  <w:r w:rsidRPr="00EF1F1B">
                    <w:rPr>
                      <w:sz w:val="18"/>
                      <w:szCs w:val="18"/>
                    </w:rPr>
                    <w:t>III</w:t>
                  </w:r>
                </w:p>
              </w:tc>
              <w:tc>
                <w:tcPr>
                  <w:tcW w:w="1595" w:type="dxa"/>
                  <w:tcBorders>
                    <w:top w:val="nil"/>
                    <w:left w:val="nil"/>
                    <w:bottom w:val="single" w:sz="4" w:space="0" w:color="auto"/>
                    <w:right w:val="single" w:sz="4" w:space="0" w:color="auto"/>
                  </w:tcBorders>
                  <w:shd w:val="clear" w:color="auto" w:fill="auto"/>
                  <w:vAlign w:val="center"/>
                </w:tcPr>
                <w:p w:rsidR="00EF1F1B" w:rsidRPr="00EF1F1B" w:rsidRDefault="00EF1F1B" w:rsidP="00EF1F1B">
                  <w:pPr>
                    <w:widowControl w:val="0"/>
                    <w:spacing w:after="0" w:line="240" w:lineRule="auto"/>
                    <w:rPr>
                      <w:sz w:val="18"/>
                      <w:szCs w:val="18"/>
                    </w:rPr>
                  </w:pPr>
                  <w:r w:rsidRPr="00EF1F1B">
                    <w:rPr>
                      <w:sz w:val="18"/>
                      <w:szCs w:val="18"/>
                    </w:rPr>
                    <w:t>3.1, 3.2, 3.3</w:t>
                  </w:r>
                </w:p>
              </w:tc>
              <w:tc>
                <w:tcPr>
                  <w:tcW w:w="5167" w:type="dxa"/>
                  <w:tcBorders>
                    <w:top w:val="nil"/>
                    <w:left w:val="nil"/>
                    <w:bottom w:val="single" w:sz="4" w:space="0" w:color="auto"/>
                    <w:right w:val="single" w:sz="4" w:space="0" w:color="auto"/>
                  </w:tcBorders>
                  <w:shd w:val="clear" w:color="auto" w:fill="auto"/>
                  <w:vAlign w:val="center"/>
                </w:tcPr>
                <w:p w:rsidR="00EF1F1B" w:rsidRPr="00EF1F1B" w:rsidRDefault="00EF1F1B" w:rsidP="00EF1F1B">
                  <w:pPr>
                    <w:widowControl w:val="0"/>
                    <w:spacing w:after="0" w:line="240" w:lineRule="auto"/>
                    <w:rPr>
                      <w:sz w:val="18"/>
                      <w:szCs w:val="18"/>
                    </w:rPr>
                  </w:pPr>
                  <w:r w:rsidRPr="00EF1F1B">
                    <w:rPr>
                      <w:sz w:val="18"/>
                      <w:szCs w:val="18"/>
                    </w:rPr>
                    <w:t>3.1.1, 3.1.3, 3.1.3, 3.2.1, 3.2.2, 3.2.3, 3.3.1, 3.3.2, 3.3.3, 3.3.4</w:t>
                  </w:r>
                </w:p>
              </w:tc>
            </w:tr>
            <w:tr w:rsidR="00EF1F1B" w:rsidRPr="0070185C" w:rsidTr="000458B3">
              <w:trPr>
                <w:trHeight w:val="289"/>
                <w:jc w:val="center"/>
              </w:trPr>
              <w:tc>
                <w:tcPr>
                  <w:tcW w:w="921" w:type="dxa"/>
                  <w:tcBorders>
                    <w:top w:val="nil"/>
                    <w:left w:val="single" w:sz="4" w:space="0" w:color="auto"/>
                    <w:bottom w:val="single" w:sz="4" w:space="0" w:color="auto"/>
                    <w:right w:val="single" w:sz="4" w:space="0" w:color="auto"/>
                  </w:tcBorders>
                  <w:shd w:val="clear" w:color="auto" w:fill="auto"/>
                  <w:vAlign w:val="center"/>
                </w:tcPr>
                <w:p w:rsidR="00EF1F1B" w:rsidRPr="00EF1F1B" w:rsidRDefault="00EF1F1B" w:rsidP="00EF1F1B">
                  <w:pPr>
                    <w:widowControl w:val="0"/>
                    <w:spacing w:after="0" w:line="240" w:lineRule="auto"/>
                    <w:jc w:val="center"/>
                    <w:rPr>
                      <w:sz w:val="18"/>
                      <w:szCs w:val="18"/>
                    </w:rPr>
                  </w:pPr>
                  <w:r w:rsidRPr="00EF1F1B">
                    <w:rPr>
                      <w:sz w:val="18"/>
                      <w:szCs w:val="18"/>
                    </w:rPr>
                    <w:t>IV</w:t>
                  </w:r>
                </w:p>
              </w:tc>
              <w:tc>
                <w:tcPr>
                  <w:tcW w:w="1595" w:type="dxa"/>
                  <w:tcBorders>
                    <w:top w:val="nil"/>
                    <w:left w:val="nil"/>
                    <w:bottom w:val="single" w:sz="4" w:space="0" w:color="auto"/>
                    <w:right w:val="single" w:sz="4" w:space="0" w:color="auto"/>
                  </w:tcBorders>
                  <w:shd w:val="clear" w:color="auto" w:fill="auto"/>
                  <w:vAlign w:val="center"/>
                </w:tcPr>
                <w:p w:rsidR="00EF1F1B" w:rsidRPr="00EF1F1B" w:rsidRDefault="00EF1F1B" w:rsidP="00EF1F1B">
                  <w:pPr>
                    <w:widowControl w:val="0"/>
                    <w:spacing w:after="0" w:line="240" w:lineRule="auto"/>
                    <w:rPr>
                      <w:sz w:val="18"/>
                      <w:szCs w:val="18"/>
                    </w:rPr>
                  </w:pPr>
                  <w:r w:rsidRPr="00EF1F1B">
                    <w:rPr>
                      <w:sz w:val="18"/>
                      <w:szCs w:val="18"/>
                    </w:rPr>
                    <w:t>4.1, 4.2, 4.3</w:t>
                  </w:r>
                </w:p>
              </w:tc>
              <w:tc>
                <w:tcPr>
                  <w:tcW w:w="5167" w:type="dxa"/>
                  <w:tcBorders>
                    <w:top w:val="nil"/>
                    <w:left w:val="nil"/>
                    <w:bottom w:val="single" w:sz="4" w:space="0" w:color="auto"/>
                    <w:right w:val="single" w:sz="4" w:space="0" w:color="auto"/>
                  </w:tcBorders>
                  <w:shd w:val="clear" w:color="auto" w:fill="auto"/>
                  <w:vAlign w:val="center"/>
                </w:tcPr>
                <w:p w:rsidR="00EF1F1B" w:rsidRPr="00EF1F1B" w:rsidRDefault="00EF1F1B" w:rsidP="00EF1F1B">
                  <w:pPr>
                    <w:widowControl w:val="0"/>
                    <w:spacing w:after="0" w:line="240" w:lineRule="auto"/>
                    <w:rPr>
                      <w:sz w:val="18"/>
                      <w:szCs w:val="18"/>
                    </w:rPr>
                  </w:pPr>
                  <w:r w:rsidRPr="00EF1F1B">
                    <w:rPr>
                      <w:sz w:val="18"/>
                      <w:szCs w:val="18"/>
                    </w:rPr>
                    <w:t>4.1.1, 4.12, 4.1.3, 4.1.3, 4.1.5, 4.2.1, 4.2.2, 4.2.3, 4.2.4, 4.3.1, 4.3.2 4.3.3</w:t>
                  </w:r>
                </w:p>
              </w:tc>
            </w:tr>
          </w:tbl>
          <w:p w:rsidR="003B4ED9" w:rsidRDefault="003B4ED9">
            <w:pPr>
              <w:pBdr>
                <w:top w:val="nil"/>
                <w:left w:val="nil"/>
                <w:bottom w:val="nil"/>
                <w:right w:val="nil"/>
                <w:between w:val="nil"/>
              </w:pBdr>
              <w:spacing w:after="160"/>
              <w:rPr>
                <w:highlight w:val="white"/>
              </w:rPr>
            </w:pPr>
          </w:p>
        </w:tc>
      </w:tr>
      <w:tr w:rsidR="003B4ED9">
        <w:trPr>
          <w:trHeight w:val="587"/>
        </w:trPr>
        <w:tc>
          <w:tcPr>
            <w:tcW w:w="2274" w:type="dxa"/>
            <w:shd w:val="clear" w:color="auto" w:fill="E2EFD9"/>
            <w:vAlign w:val="center"/>
          </w:tcPr>
          <w:p w:rsidR="003B4ED9" w:rsidRDefault="00C63F7E">
            <w:r>
              <w:t>Población objetivo</w:t>
            </w:r>
          </w:p>
        </w:tc>
        <w:tc>
          <w:tcPr>
            <w:tcW w:w="8074" w:type="dxa"/>
            <w:vAlign w:val="center"/>
          </w:tcPr>
          <w:p w:rsidR="003B4ED9" w:rsidRDefault="00C63F7E">
            <w:pPr>
              <w:rPr>
                <w:highlight w:val="white"/>
              </w:rPr>
            </w:pPr>
            <w:r>
              <w:t>Todo p</w:t>
            </w:r>
            <w:r>
              <w:rPr>
                <w:highlight w:val="white"/>
              </w:rPr>
              <w:t>ersonal directivo o de supervisión que ejerza la función y cuente con experiencia mínima de cinco años en la gestión educativa</w:t>
            </w:r>
            <w:r>
              <w:t xml:space="preserve"> que decide voluntariamente participar en la convocatoria pública del proceso de selección para la promoc</w:t>
            </w:r>
            <w:r>
              <w:t>ión vertical y cumple con los requisitos establecidos en la misma. Pueden presentar esta segunda etapa del proceso personal directivo en:</w:t>
            </w:r>
            <w:r>
              <w:rPr>
                <w:highlight w:val="white"/>
              </w:rPr>
              <w:t xml:space="preserve">  </w:t>
            </w:r>
          </w:p>
          <w:p w:rsidR="003B4ED9" w:rsidRDefault="00C63F7E">
            <w:pPr>
              <w:numPr>
                <w:ilvl w:val="0"/>
                <w:numId w:val="2"/>
              </w:numPr>
            </w:pPr>
            <w:r>
              <w:rPr>
                <w:highlight w:val="white"/>
              </w:rPr>
              <w:t xml:space="preserve">Educación inicial: </w:t>
            </w:r>
            <w:r>
              <w:t xml:space="preserve">Directora e inspectora para centros de desarrollo infantil </w:t>
            </w:r>
          </w:p>
          <w:p w:rsidR="003B4ED9" w:rsidRDefault="00C63F7E">
            <w:pPr>
              <w:numPr>
                <w:ilvl w:val="0"/>
                <w:numId w:val="2"/>
              </w:numPr>
            </w:pPr>
            <w:r>
              <w:t>Educación preescolar:  Directora de j</w:t>
            </w:r>
            <w:r>
              <w:t>ardín de niños, Inspectora de jardín de niños y asesor técnico pedagógico</w:t>
            </w:r>
          </w:p>
          <w:p w:rsidR="003B4ED9" w:rsidRDefault="00C63F7E">
            <w:pPr>
              <w:numPr>
                <w:ilvl w:val="0"/>
                <w:numId w:val="2"/>
              </w:numPr>
            </w:pPr>
            <w:r>
              <w:t>Educación primaria: Director de primaria, Inspector de zona de enseñanza primaria y asesor técnico pedagógico</w:t>
            </w:r>
          </w:p>
          <w:p w:rsidR="003B4ED9" w:rsidRDefault="00C63F7E">
            <w:pPr>
              <w:numPr>
                <w:ilvl w:val="0"/>
                <w:numId w:val="2"/>
              </w:numPr>
            </w:pPr>
            <w:r>
              <w:t xml:space="preserve">Educación indígena: </w:t>
            </w:r>
            <w:r>
              <w:t>Director bilingüe de educación preescolar indígena,</w:t>
            </w:r>
            <w:r>
              <w:t xml:space="preserve"> Director bilingüe de educación primaria indígena, Inspector bilingüe de educación primaria indígena y asesor técnico pedagógico.</w:t>
            </w:r>
          </w:p>
          <w:p w:rsidR="003B4ED9" w:rsidRDefault="00C63F7E">
            <w:pPr>
              <w:numPr>
                <w:ilvl w:val="0"/>
                <w:numId w:val="2"/>
              </w:numPr>
            </w:pPr>
            <w:r>
              <w:lastRenderedPageBreak/>
              <w:t xml:space="preserve">Educación secundaria: </w:t>
            </w:r>
            <w:r>
              <w:t xml:space="preserve">Director de secundaria, Jefe de enseñanza secundaria, Director de escuela secundaria técnica y Jefe de </w:t>
            </w:r>
            <w:r>
              <w:t>enseñanza secundaria técnica.</w:t>
            </w:r>
          </w:p>
          <w:p w:rsidR="003B4ED9" w:rsidRDefault="00C63F7E">
            <w:pPr>
              <w:numPr>
                <w:ilvl w:val="0"/>
                <w:numId w:val="2"/>
              </w:numPr>
            </w:pPr>
            <w:r>
              <w:t>Telesecundaria: Director, maestro de telesecundaria e Inspector de zona de telesecundaria</w:t>
            </w:r>
            <w:r>
              <w:t>.</w:t>
            </w:r>
          </w:p>
          <w:p w:rsidR="003B4ED9" w:rsidRDefault="00C63F7E">
            <w:pPr>
              <w:numPr>
                <w:ilvl w:val="0"/>
                <w:numId w:val="2"/>
              </w:numPr>
            </w:pPr>
            <w:r>
              <w:t>Educación especial: Director de escuela de educación especial y asesor técnico pedagógico</w:t>
            </w:r>
          </w:p>
          <w:p w:rsidR="003B4ED9" w:rsidRDefault="00C63F7E">
            <w:pPr>
              <w:numPr>
                <w:ilvl w:val="0"/>
                <w:numId w:val="2"/>
              </w:numPr>
            </w:pPr>
            <w:r>
              <w:t>Educación física. Profesor de educación físi</w:t>
            </w:r>
            <w:r>
              <w:t>ca y asesor técnico pedagógico.</w:t>
            </w:r>
          </w:p>
          <w:p w:rsidR="003B4ED9" w:rsidRDefault="00C63F7E">
            <w:pPr>
              <w:numPr>
                <w:ilvl w:val="0"/>
                <w:numId w:val="2"/>
              </w:numPr>
            </w:pPr>
            <w:r>
              <w:t>Educación básica para adultos: Director de educación básica para adultos nocturna</w:t>
            </w:r>
          </w:p>
        </w:tc>
      </w:tr>
      <w:tr w:rsidR="003B4ED9">
        <w:trPr>
          <w:trHeight w:val="493"/>
        </w:trPr>
        <w:tc>
          <w:tcPr>
            <w:tcW w:w="2274" w:type="dxa"/>
            <w:shd w:val="clear" w:color="auto" w:fill="E2EFD9"/>
            <w:vAlign w:val="center"/>
          </w:tcPr>
          <w:p w:rsidR="003B4ED9" w:rsidRDefault="00C63F7E">
            <w:r>
              <w:lastRenderedPageBreak/>
              <w:t>Proceso de selección o categoría</w:t>
            </w:r>
          </w:p>
        </w:tc>
        <w:tc>
          <w:tcPr>
            <w:tcW w:w="8074" w:type="dxa"/>
            <w:vAlign w:val="center"/>
          </w:tcPr>
          <w:p w:rsidR="003B4ED9" w:rsidRDefault="00C63F7E">
            <w:pPr>
              <w:rPr>
                <w:highlight w:val="white"/>
              </w:rPr>
            </w:pPr>
            <w:r>
              <w:rPr>
                <w:highlight w:val="white"/>
              </w:rPr>
              <w:t>Proceso de promoción vertical</w:t>
            </w:r>
          </w:p>
        </w:tc>
      </w:tr>
      <w:tr w:rsidR="003B4ED9">
        <w:trPr>
          <w:trHeight w:val="587"/>
        </w:trPr>
        <w:tc>
          <w:tcPr>
            <w:tcW w:w="2274" w:type="dxa"/>
            <w:shd w:val="clear" w:color="auto" w:fill="E2EFD9"/>
            <w:vAlign w:val="center"/>
          </w:tcPr>
          <w:p w:rsidR="003B4ED9" w:rsidRDefault="00C63F7E">
            <w:r>
              <w:t>Alcances de los resultados</w:t>
            </w:r>
          </w:p>
        </w:tc>
        <w:tc>
          <w:tcPr>
            <w:tcW w:w="8074" w:type="dxa"/>
            <w:vAlign w:val="center"/>
          </w:tcPr>
          <w:p w:rsidR="003B4ED9" w:rsidRDefault="00C63F7E">
            <w:pPr>
              <w:numPr>
                <w:ilvl w:val="0"/>
                <w:numId w:val="1"/>
              </w:numPr>
              <w:ind w:left="317" w:hanging="283"/>
            </w:pPr>
            <w:r>
              <w:t>Para los sustentantes: Diagnóstico individual sobre el grado de experticia detectado en cada una de las habilidades, aptitudes y conocimientos valorados para la promoción vertical, permitiendo identificar las fortalezas y áreas de mejora propias que guiará</w:t>
            </w:r>
            <w:r>
              <w:t>n una búsqueda informada de oportunidades para su formación continua.</w:t>
            </w:r>
          </w:p>
          <w:p w:rsidR="003B4ED9" w:rsidRDefault="00C63F7E">
            <w:pPr>
              <w:numPr>
                <w:ilvl w:val="0"/>
                <w:numId w:val="1"/>
              </w:numPr>
              <w:ind w:left="317" w:hanging="283"/>
            </w:pPr>
            <w:r>
              <w:t>Para las autoridades educativas federales: Diagnósticos a nivel nacional sobre el grado de experticia detectado en cada una de las habilidades, aptitudes y conocimientos valorados para l</w:t>
            </w:r>
            <w:r>
              <w:t>a promoción vertical, permitiendo identificar patrones generales en términos de las fortalezas y áreas de oportunidad detectadas en la población objetivo.</w:t>
            </w:r>
          </w:p>
          <w:p w:rsidR="003B4ED9" w:rsidRDefault="00C63F7E">
            <w:pPr>
              <w:numPr>
                <w:ilvl w:val="0"/>
                <w:numId w:val="1"/>
              </w:numPr>
              <w:spacing w:after="160"/>
              <w:ind w:left="317" w:hanging="283"/>
            </w:pPr>
            <w:r>
              <w:t>Para las autoridades locales: Diagnósticos locales sobre el grado de experticia detectado en cada una</w:t>
            </w:r>
            <w:r>
              <w:t xml:space="preserve"> de habilidades, aptitudes y conocimientos valorados para la promoción vertical, permitiendo identificar patrones generales en las fortalezas y áreas de oportunidad identificadas, a fin de guiar el desarrollo informado de recursos para la formación continu</w:t>
            </w:r>
            <w:r>
              <w:t>a</w:t>
            </w:r>
          </w:p>
        </w:tc>
      </w:tr>
      <w:tr w:rsidR="003B4ED9">
        <w:trPr>
          <w:trHeight w:val="587"/>
        </w:trPr>
        <w:tc>
          <w:tcPr>
            <w:tcW w:w="2274" w:type="dxa"/>
            <w:shd w:val="clear" w:color="auto" w:fill="E2EFD9"/>
            <w:vAlign w:val="center"/>
          </w:tcPr>
          <w:p w:rsidR="003B4ED9" w:rsidRDefault="00C63F7E">
            <w:r>
              <w:t>Uso de los resultados</w:t>
            </w:r>
          </w:p>
        </w:tc>
        <w:tc>
          <w:tcPr>
            <w:tcW w:w="8074" w:type="dxa"/>
            <w:vAlign w:val="center"/>
          </w:tcPr>
          <w:p w:rsidR="003B4ED9" w:rsidRDefault="00C63F7E">
            <w:pPr>
              <w:jc w:val="both"/>
              <w:rPr>
                <w:highlight w:val="white"/>
              </w:rPr>
            </w:pPr>
            <w:r>
              <w:rPr>
                <w:highlight w:val="white"/>
              </w:rPr>
              <w:t>Los resultados obtenidos en el Cuestionario de Habi</w:t>
            </w:r>
            <w:r w:rsidR="00EF1F1B">
              <w:rPr>
                <w:highlight w:val="white"/>
              </w:rPr>
              <w:t>l</w:t>
            </w:r>
            <w:r>
              <w:rPr>
                <w:highlight w:val="white"/>
              </w:rPr>
              <w:t>idades Directivas serán ponderados en conjunto con la Prueba de conocimientos y aptitudes directivas y el resto de los factores establecidos en la Ley General del Sistema de Carrera para las Maestras y los</w:t>
            </w:r>
            <w:r>
              <w:rPr>
                <w:highlight w:val="white"/>
              </w:rPr>
              <w:t xml:space="preserve"> Maestros (LGCMM) para ordenar las listas de prelación con base en las cuales se asignarán las plazas vacantes.</w:t>
            </w:r>
          </w:p>
          <w:p w:rsidR="003B4ED9" w:rsidRDefault="003B4ED9">
            <w:pPr>
              <w:jc w:val="both"/>
              <w:rPr>
                <w:highlight w:val="white"/>
              </w:rPr>
            </w:pPr>
          </w:p>
        </w:tc>
      </w:tr>
      <w:tr w:rsidR="003B4ED9">
        <w:trPr>
          <w:trHeight w:val="503"/>
        </w:trPr>
        <w:tc>
          <w:tcPr>
            <w:tcW w:w="2274" w:type="dxa"/>
            <w:shd w:val="clear" w:color="auto" w:fill="E2EFD9"/>
            <w:vAlign w:val="center"/>
          </w:tcPr>
          <w:p w:rsidR="003B4ED9" w:rsidRDefault="00C63F7E">
            <w:r>
              <w:t>Impacto (opcional)</w:t>
            </w:r>
          </w:p>
        </w:tc>
        <w:tc>
          <w:tcPr>
            <w:tcW w:w="8074" w:type="dxa"/>
            <w:tcBorders>
              <w:top w:val="single" w:sz="4" w:space="0" w:color="000000"/>
              <w:left w:val="single" w:sz="4" w:space="0" w:color="000000"/>
              <w:bottom w:val="single" w:sz="4" w:space="0" w:color="000000"/>
            </w:tcBorders>
            <w:vAlign w:val="center"/>
          </w:tcPr>
          <w:p w:rsidR="003B4ED9" w:rsidRDefault="00C63F7E">
            <w:pPr>
              <w:jc w:val="both"/>
              <w:rPr>
                <w:highlight w:val="white"/>
              </w:rPr>
            </w:pPr>
            <w:r>
              <w:rPr>
                <w:highlight w:val="white"/>
              </w:rPr>
              <w:t>Alto. A partir de los resultados obtenidos se tomarán decisiones basadas en evidencia para la promoción vertical en la función directiva en la Nueva Escuela Mexicana,  la selección de los perfiles más idóneos de supervisor incidirán en el mejoramiento de l</w:t>
            </w:r>
            <w:r>
              <w:rPr>
                <w:highlight w:val="white"/>
              </w:rPr>
              <w:t xml:space="preserve">os procesos educativos y de gestión en el ámbito educativo nacional. </w:t>
            </w:r>
          </w:p>
        </w:tc>
      </w:tr>
      <w:tr w:rsidR="003B4ED9">
        <w:trPr>
          <w:trHeight w:val="411"/>
        </w:trPr>
        <w:tc>
          <w:tcPr>
            <w:tcW w:w="2274" w:type="dxa"/>
            <w:shd w:val="clear" w:color="auto" w:fill="E2EFD9"/>
            <w:vAlign w:val="center"/>
          </w:tcPr>
          <w:p w:rsidR="003B4ED9" w:rsidRDefault="00C63F7E">
            <w:r>
              <w:t>Sensibilidad a la práctica</w:t>
            </w:r>
          </w:p>
        </w:tc>
        <w:tc>
          <w:tcPr>
            <w:tcW w:w="8074" w:type="dxa"/>
            <w:tcBorders>
              <w:top w:val="single" w:sz="4" w:space="0" w:color="000000"/>
              <w:left w:val="single" w:sz="4" w:space="0" w:color="000000"/>
              <w:bottom w:val="single" w:sz="4" w:space="0" w:color="000000"/>
            </w:tcBorders>
            <w:vAlign w:val="center"/>
          </w:tcPr>
          <w:p w:rsidR="003B4ED9" w:rsidRDefault="00C63F7E">
            <w:pPr>
              <w:jc w:val="both"/>
              <w:rPr>
                <w:highlight w:val="white"/>
              </w:rPr>
            </w:pPr>
            <w:r>
              <w:rPr>
                <w:highlight w:val="white"/>
              </w:rPr>
              <w:t xml:space="preserve">Alta. Los contenidos del cuestionario están elaborados con apego total al contenido de los perfiles, criterios e indicadores publicados como referente para el ejercicio de la práctica educativa en nuestro país. </w:t>
            </w:r>
          </w:p>
        </w:tc>
      </w:tr>
      <w:tr w:rsidR="003B4ED9">
        <w:trPr>
          <w:trHeight w:val="475"/>
        </w:trPr>
        <w:tc>
          <w:tcPr>
            <w:tcW w:w="2274" w:type="dxa"/>
            <w:shd w:val="clear" w:color="auto" w:fill="E2EFD9"/>
            <w:vAlign w:val="center"/>
          </w:tcPr>
          <w:p w:rsidR="003B4ED9" w:rsidRDefault="00C63F7E">
            <w:r>
              <w:t>Cobertura</w:t>
            </w:r>
          </w:p>
        </w:tc>
        <w:tc>
          <w:tcPr>
            <w:tcW w:w="8074" w:type="dxa"/>
            <w:vAlign w:val="center"/>
          </w:tcPr>
          <w:p w:rsidR="003B4ED9" w:rsidRDefault="00C63F7E">
            <w:pPr>
              <w:rPr>
                <w:highlight w:val="white"/>
              </w:rPr>
            </w:pPr>
            <w:r>
              <w:rPr>
                <w:highlight w:val="white"/>
              </w:rPr>
              <w:t>Nacional</w:t>
            </w:r>
          </w:p>
        </w:tc>
      </w:tr>
      <w:tr w:rsidR="003B4ED9">
        <w:trPr>
          <w:trHeight w:val="513"/>
        </w:trPr>
        <w:tc>
          <w:tcPr>
            <w:tcW w:w="2274" w:type="dxa"/>
            <w:shd w:val="clear" w:color="auto" w:fill="E2EFD9"/>
            <w:vAlign w:val="center"/>
          </w:tcPr>
          <w:p w:rsidR="003B4ED9" w:rsidRDefault="00C63F7E">
            <w:r>
              <w:t>Características del ins</w:t>
            </w:r>
            <w:r>
              <w:t>trumento</w:t>
            </w:r>
          </w:p>
        </w:tc>
        <w:tc>
          <w:tcPr>
            <w:tcW w:w="8074" w:type="dxa"/>
            <w:vAlign w:val="center"/>
          </w:tcPr>
          <w:p w:rsidR="003B4ED9" w:rsidRDefault="00C63F7E">
            <w:pPr>
              <w:rPr>
                <w:sz w:val="20"/>
                <w:szCs w:val="20"/>
                <w:highlight w:val="white"/>
              </w:rPr>
            </w:pPr>
            <w:r>
              <w:rPr>
                <w:highlight w:val="white"/>
              </w:rPr>
              <w:t>Prueba objetiva de carácter situacional y  de aplicación de conocimientos y aptitudes. Se integra con reactivos de opción múltiple.</w:t>
            </w:r>
          </w:p>
        </w:tc>
      </w:tr>
      <w:tr w:rsidR="003B4ED9">
        <w:trPr>
          <w:trHeight w:val="383"/>
        </w:trPr>
        <w:tc>
          <w:tcPr>
            <w:tcW w:w="2274" w:type="dxa"/>
            <w:shd w:val="clear" w:color="auto" w:fill="E2EFD9"/>
            <w:vAlign w:val="center"/>
          </w:tcPr>
          <w:p w:rsidR="003B4ED9" w:rsidRDefault="00C63F7E">
            <w:r>
              <w:t>Tipo de respuesta</w:t>
            </w:r>
          </w:p>
        </w:tc>
        <w:tc>
          <w:tcPr>
            <w:tcW w:w="8074" w:type="dxa"/>
            <w:vAlign w:val="center"/>
          </w:tcPr>
          <w:p w:rsidR="003B4ED9" w:rsidRDefault="00C63F7E">
            <w:pPr>
              <w:rPr>
                <w:highlight w:val="white"/>
              </w:rPr>
            </w:pPr>
            <w:r>
              <w:rPr>
                <w:highlight w:val="white"/>
              </w:rPr>
              <w:t>Opción múltiple</w:t>
            </w:r>
          </w:p>
        </w:tc>
      </w:tr>
      <w:tr w:rsidR="003B4ED9">
        <w:trPr>
          <w:trHeight w:val="364"/>
        </w:trPr>
        <w:tc>
          <w:tcPr>
            <w:tcW w:w="2274" w:type="dxa"/>
            <w:shd w:val="clear" w:color="auto" w:fill="E2EFD9"/>
            <w:vAlign w:val="center"/>
          </w:tcPr>
          <w:p w:rsidR="003B4ED9" w:rsidRDefault="00C63F7E">
            <w:r>
              <w:t>Características</w:t>
            </w:r>
          </w:p>
        </w:tc>
        <w:tc>
          <w:tcPr>
            <w:tcW w:w="8074" w:type="dxa"/>
            <w:vAlign w:val="center"/>
          </w:tcPr>
          <w:p w:rsidR="003B4ED9" w:rsidRDefault="00C63F7E" w:rsidP="00EF1F1B">
            <w:pPr>
              <w:rPr>
                <w:highlight w:val="white"/>
              </w:rPr>
            </w:pPr>
            <w:r>
              <w:rPr>
                <w:highlight w:val="white"/>
              </w:rPr>
              <w:t xml:space="preserve">Prueba estructurada y de tipo escrito, compuesta por </w:t>
            </w:r>
            <w:r w:rsidR="00EF1F1B">
              <w:rPr>
                <w:highlight w:val="white"/>
              </w:rPr>
              <w:t>í</w:t>
            </w:r>
            <w:bookmarkStart w:id="0" w:name="_GoBack"/>
            <w:bookmarkEnd w:id="0"/>
            <w:r>
              <w:rPr>
                <w:highlight w:val="white"/>
              </w:rPr>
              <w:t>tems de opción múltiple que abarcan las siguientes destrezas evaluadas: liderazgo, negociación, colaboración y trabajo en equipo.</w:t>
            </w:r>
          </w:p>
        </w:tc>
      </w:tr>
      <w:tr w:rsidR="003B4ED9">
        <w:trPr>
          <w:trHeight w:val="419"/>
        </w:trPr>
        <w:tc>
          <w:tcPr>
            <w:tcW w:w="2274" w:type="dxa"/>
            <w:shd w:val="clear" w:color="auto" w:fill="E2EFD9"/>
            <w:vAlign w:val="center"/>
          </w:tcPr>
          <w:p w:rsidR="003B4ED9" w:rsidRDefault="00C63F7E">
            <w:r>
              <w:lastRenderedPageBreak/>
              <w:t>Requisitos para la aplicación</w:t>
            </w:r>
          </w:p>
        </w:tc>
        <w:tc>
          <w:tcPr>
            <w:tcW w:w="8074" w:type="dxa"/>
            <w:vAlign w:val="center"/>
          </w:tcPr>
          <w:p w:rsidR="003B4ED9" w:rsidRDefault="00C63F7E">
            <w:pPr>
              <w:spacing w:after="200" w:line="276" w:lineRule="auto"/>
              <w:rPr>
                <w:highlight w:val="white"/>
              </w:rPr>
            </w:pPr>
            <w:r>
              <w:rPr>
                <w:highlight w:val="white"/>
              </w:rPr>
              <w:t xml:space="preserve">Personal directivo o de supervisión que ejerza la función, cuente con experiencia mínima de cinco años en la gestión directiva. (Art. 42, Fracc. II) </w:t>
            </w:r>
          </w:p>
        </w:tc>
      </w:tr>
      <w:tr w:rsidR="003B4ED9">
        <w:trPr>
          <w:trHeight w:val="419"/>
        </w:trPr>
        <w:tc>
          <w:tcPr>
            <w:tcW w:w="2274" w:type="dxa"/>
            <w:shd w:val="clear" w:color="auto" w:fill="E2EFD9"/>
            <w:vAlign w:val="center"/>
          </w:tcPr>
          <w:p w:rsidR="003B4ED9" w:rsidRDefault="00C63F7E">
            <w:r>
              <w:t>Momento de aplicación</w:t>
            </w:r>
          </w:p>
        </w:tc>
        <w:tc>
          <w:tcPr>
            <w:tcW w:w="8074" w:type="dxa"/>
            <w:vAlign w:val="center"/>
          </w:tcPr>
          <w:p w:rsidR="003B4ED9" w:rsidRDefault="00C63F7E">
            <w:pPr>
              <w:rPr>
                <w:highlight w:val="white"/>
              </w:rPr>
            </w:pPr>
            <w:r>
              <w:rPr>
                <w:highlight w:val="white"/>
              </w:rPr>
              <w:t>Componente 3 Habili</w:t>
            </w:r>
            <w:r>
              <w:rPr>
                <w:highlight w:val="white"/>
              </w:rPr>
              <w:t>dades directivas Etapa 3</w:t>
            </w:r>
          </w:p>
          <w:p w:rsidR="003B4ED9" w:rsidRDefault="00C63F7E">
            <w:pPr>
              <w:rPr>
                <w:highlight w:val="white"/>
              </w:rPr>
            </w:pPr>
            <w:r>
              <w:rPr>
                <w:highlight w:val="white"/>
              </w:rPr>
              <w:t>II. Fase de aplicación del proceso del</w:t>
            </w:r>
            <w:r>
              <w:rPr>
                <w:highlight w:val="white"/>
              </w:rPr>
              <w:t xml:space="preserve"> 20 de abril al 4 de mayo 2020.</w:t>
            </w:r>
          </w:p>
        </w:tc>
      </w:tr>
      <w:tr w:rsidR="003B4ED9">
        <w:trPr>
          <w:trHeight w:val="549"/>
        </w:trPr>
        <w:tc>
          <w:tcPr>
            <w:tcW w:w="2274" w:type="dxa"/>
            <w:shd w:val="clear" w:color="auto" w:fill="E2EFD9"/>
            <w:vAlign w:val="center"/>
          </w:tcPr>
          <w:p w:rsidR="003B4ED9" w:rsidRDefault="00C63F7E">
            <w:r>
              <w:t>Tipo de aplicación</w:t>
            </w:r>
          </w:p>
        </w:tc>
        <w:tc>
          <w:tcPr>
            <w:tcW w:w="8074" w:type="dxa"/>
            <w:vAlign w:val="center"/>
          </w:tcPr>
          <w:p w:rsidR="003B4ED9" w:rsidRDefault="00C63F7E">
            <w:pPr>
              <w:spacing w:after="160"/>
              <w:jc w:val="both"/>
              <w:rPr>
                <w:highlight w:val="white"/>
              </w:rPr>
            </w:pPr>
            <w:r>
              <w:rPr>
                <w:highlight w:val="white"/>
              </w:rPr>
              <w:t xml:space="preserve">El instrumento se aplicará en línea mediante una plataforma.  </w:t>
            </w:r>
          </w:p>
        </w:tc>
      </w:tr>
      <w:tr w:rsidR="003B4ED9">
        <w:trPr>
          <w:trHeight w:val="415"/>
        </w:trPr>
        <w:tc>
          <w:tcPr>
            <w:tcW w:w="2274" w:type="dxa"/>
            <w:shd w:val="clear" w:color="auto" w:fill="E2EFD9"/>
            <w:vAlign w:val="center"/>
          </w:tcPr>
          <w:p w:rsidR="003B4ED9" w:rsidRDefault="00C63F7E">
            <w:r>
              <w:t>Duración de la aplicación</w:t>
            </w:r>
          </w:p>
        </w:tc>
        <w:tc>
          <w:tcPr>
            <w:tcW w:w="8074" w:type="dxa"/>
            <w:vAlign w:val="center"/>
          </w:tcPr>
          <w:p w:rsidR="003B4ED9" w:rsidRDefault="00C63F7E">
            <w:pPr>
              <w:rPr>
                <w:highlight w:val="white"/>
              </w:rPr>
            </w:pPr>
            <w:r>
              <w:rPr>
                <w:highlight w:val="white"/>
              </w:rPr>
              <w:t>Tres horas</w:t>
            </w:r>
          </w:p>
        </w:tc>
      </w:tr>
      <w:tr w:rsidR="003B4ED9">
        <w:trPr>
          <w:trHeight w:val="387"/>
        </w:trPr>
        <w:tc>
          <w:tcPr>
            <w:tcW w:w="2274" w:type="dxa"/>
            <w:shd w:val="clear" w:color="auto" w:fill="E2EFD9"/>
            <w:vAlign w:val="center"/>
          </w:tcPr>
          <w:p w:rsidR="003B4ED9" w:rsidRDefault="00C63F7E">
            <w:r>
              <w:t>Número de sesiones</w:t>
            </w:r>
          </w:p>
        </w:tc>
        <w:tc>
          <w:tcPr>
            <w:tcW w:w="8074" w:type="dxa"/>
            <w:vAlign w:val="center"/>
          </w:tcPr>
          <w:p w:rsidR="003B4ED9" w:rsidRDefault="00C63F7E">
            <w:pPr>
              <w:rPr>
                <w:highlight w:val="white"/>
              </w:rPr>
            </w:pPr>
            <w:r>
              <w:rPr>
                <w:highlight w:val="white"/>
              </w:rPr>
              <w:t xml:space="preserve">Una sesión </w:t>
            </w:r>
          </w:p>
        </w:tc>
      </w:tr>
      <w:tr w:rsidR="003B4ED9">
        <w:trPr>
          <w:trHeight w:val="467"/>
        </w:trPr>
        <w:tc>
          <w:tcPr>
            <w:tcW w:w="2274" w:type="dxa"/>
            <w:shd w:val="clear" w:color="auto" w:fill="E2EFD9"/>
            <w:vAlign w:val="center"/>
          </w:tcPr>
          <w:p w:rsidR="003B4ED9" w:rsidRDefault="00C63F7E">
            <w:r>
              <w:t>Longitud del instrumento</w:t>
            </w:r>
          </w:p>
        </w:tc>
        <w:tc>
          <w:tcPr>
            <w:tcW w:w="8074" w:type="dxa"/>
            <w:vAlign w:val="center"/>
          </w:tcPr>
          <w:p w:rsidR="003B4ED9" w:rsidRDefault="00C63F7E">
            <w:pPr>
              <w:spacing w:after="160"/>
              <w:rPr>
                <w:highlight w:val="white"/>
              </w:rPr>
            </w:pPr>
            <w:r>
              <w:rPr>
                <w:highlight w:val="white"/>
              </w:rPr>
              <w:t>El instrumento se integrará a partir de preguntas de opción múltiple que  garanticen la adecuada exploración de las siguientes destrezas: liderazgo, negociación, colaboración y trabajo en equipo</w:t>
            </w:r>
            <w:r w:rsidR="00EF1F1B">
              <w:rPr>
                <w:highlight w:val="white"/>
              </w:rPr>
              <w:t>,</w:t>
            </w:r>
            <w:r>
              <w:rPr>
                <w:highlight w:val="white"/>
              </w:rPr>
              <w:t xml:space="preserve"> orientadas  a fortalecer las interacciones de la comunidad ed</w:t>
            </w:r>
            <w:r>
              <w:rPr>
                <w:highlight w:val="white"/>
              </w:rPr>
              <w:t>ucativa y el clima escolar.</w:t>
            </w:r>
          </w:p>
        </w:tc>
      </w:tr>
      <w:tr w:rsidR="003B4ED9">
        <w:trPr>
          <w:trHeight w:val="377"/>
        </w:trPr>
        <w:tc>
          <w:tcPr>
            <w:tcW w:w="2274" w:type="dxa"/>
            <w:shd w:val="clear" w:color="auto" w:fill="E2EFD9"/>
            <w:vAlign w:val="center"/>
          </w:tcPr>
          <w:p w:rsidR="003B4ED9" w:rsidRDefault="00C63F7E">
            <w:r>
              <w:t>Modelo de medición</w:t>
            </w:r>
          </w:p>
        </w:tc>
        <w:tc>
          <w:tcPr>
            <w:tcW w:w="8074" w:type="dxa"/>
            <w:vAlign w:val="center"/>
          </w:tcPr>
          <w:p w:rsidR="003B4ED9" w:rsidRDefault="00C63F7E">
            <w:pPr>
              <w:tabs>
                <w:tab w:val="left" w:pos="142"/>
              </w:tabs>
              <w:spacing w:before="240" w:after="160"/>
              <w:jc w:val="both"/>
              <w:rPr>
                <w:highlight w:val="white"/>
              </w:rPr>
            </w:pPr>
            <w:r>
              <w:rPr>
                <w:highlight w:val="white"/>
              </w:rPr>
              <w:t>Para los cuestionarios de habilidades se requiere el uso de la Teoría de Respuesta al Ítem (TRI), de manera que permita traducir las puntuaciones registradas por cada participante en información integrada y g</w:t>
            </w:r>
            <w:r>
              <w:rPr>
                <w:highlight w:val="white"/>
              </w:rPr>
              <w:t>eneral sobre su propio ejercicio de valoración.</w:t>
            </w:r>
          </w:p>
        </w:tc>
      </w:tr>
      <w:tr w:rsidR="003B4ED9">
        <w:trPr>
          <w:trHeight w:val="377"/>
        </w:trPr>
        <w:tc>
          <w:tcPr>
            <w:tcW w:w="2274" w:type="dxa"/>
            <w:shd w:val="clear" w:color="auto" w:fill="E2EFD9"/>
            <w:vAlign w:val="center"/>
          </w:tcPr>
          <w:p w:rsidR="003B4ED9" w:rsidRDefault="00C63F7E">
            <w:r>
              <w:t xml:space="preserve">Propiedades estadísticas deseadas </w:t>
            </w:r>
          </w:p>
        </w:tc>
        <w:tc>
          <w:tcPr>
            <w:tcW w:w="8074" w:type="dxa"/>
            <w:vAlign w:val="center"/>
          </w:tcPr>
          <w:p w:rsidR="003B4ED9" w:rsidRDefault="00C63F7E">
            <w:pPr>
              <w:jc w:val="both"/>
              <w:rPr>
                <w:highlight w:val="white"/>
              </w:rPr>
            </w:pPr>
            <w:r>
              <w:rPr>
                <w:highlight w:val="white"/>
              </w:rPr>
              <w:t xml:space="preserve">Cuestionario de habilidades directivas, se integra con reactivos de opción múltiple. A partir de los puntajes de los elementos multifactoriales considerados para la valoración se integran los resultados del proceso de selección. </w:t>
            </w:r>
          </w:p>
        </w:tc>
      </w:tr>
      <w:tr w:rsidR="003B4ED9">
        <w:trPr>
          <w:trHeight w:val="377"/>
        </w:trPr>
        <w:tc>
          <w:tcPr>
            <w:tcW w:w="2274" w:type="dxa"/>
            <w:shd w:val="clear" w:color="auto" w:fill="E2EFD9"/>
            <w:vAlign w:val="center"/>
          </w:tcPr>
          <w:p w:rsidR="003B4ED9" w:rsidRDefault="00C63F7E">
            <w:r>
              <w:t>Evidencias adicionales</w:t>
            </w:r>
          </w:p>
        </w:tc>
        <w:tc>
          <w:tcPr>
            <w:tcW w:w="8074" w:type="dxa"/>
            <w:vAlign w:val="center"/>
          </w:tcPr>
          <w:p w:rsidR="003B4ED9" w:rsidRDefault="00C63F7E">
            <w:pPr>
              <w:rPr>
                <w:highlight w:val="white"/>
              </w:rPr>
            </w:pPr>
            <w:r>
              <w:rPr>
                <w:highlight w:val="white"/>
              </w:rPr>
              <w:t>Pa</w:t>
            </w:r>
            <w:r>
              <w:rPr>
                <w:highlight w:val="white"/>
              </w:rPr>
              <w:t>ra el caso la valoración de habilidades  directivas no existen evidencias adicionales al cuestionario.</w:t>
            </w:r>
          </w:p>
        </w:tc>
      </w:tr>
      <w:tr w:rsidR="003B4ED9">
        <w:tc>
          <w:tcPr>
            <w:tcW w:w="2274" w:type="dxa"/>
            <w:shd w:val="clear" w:color="auto" w:fill="E2EFD9"/>
            <w:vAlign w:val="center"/>
          </w:tcPr>
          <w:p w:rsidR="003B4ED9" w:rsidRDefault="00C63F7E">
            <w:r>
              <w:t>Devolución de resultados:</w:t>
            </w:r>
          </w:p>
        </w:tc>
        <w:tc>
          <w:tcPr>
            <w:tcW w:w="8074" w:type="dxa"/>
            <w:vAlign w:val="center"/>
          </w:tcPr>
          <w:p w:rsidR="003B4ED9" w:rsidRDefault="00C63F7E">
            <w:pPr>
              <w:rPr>
                <w:highlight w:val="white"/>
              </w:rPr>
            </w:pPr>
            <w:r>
              <w:rPr>
                <w:highlight w:val="white"/>
              </w:rPr>
              <w:t>Reporte individualizado.</w:t>
            </w:r>
          </w:p>
        </w:tc>
      </w:tr>
    </w:tbl>
    <w:p w:rsidR="003B4ED9" w:rsidRDefault="003B4ED9">
      <w:pPr>
        <w:spacing w:line="240" w:lineRule="auto"/>
        <w:rPr>
          <w:highlight w:val="white"/>
        </w:rPr>
      </w:pPr>
    </w:p>
    <w:p w:rsidR="003B4ED9" w:rsidRDefault="003B4ED9">
      <w:pPr>
        <w:spacing w:line="240" w:lineRule="auto"/>
        <w:jc w:val="both"/>
      </w:pPr>
      <w:bookmarkStart w:id="1" w:name="_3znysh7" w:colFirst="0" w:colLast="0"/>
      <w:bookmarkEnd w:id="1"/>
    </w:p>
    <w:sectPr w:rsidR="003B4ED9">
      <w:pgSz w:w="12240" w:h="15840"/>
      <w:pgMar w:top="1440" w:right="758" w:bottom="1440" w:left="108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F7E" w:rsidRDefault="00C63F7E">
      <w:pPr>
        <w:spacing w:after="0" w:line="240" w:lineRule="auto"/>
      </w:pPr>
      <w:r>
        <w:separator/>
      </w:r>
    </w:p>
  </w:endnote>
  <w:endnote w:type="continuationSeparator" w:id="0">
    <w:p w:rsidR="00C63F7E" w:rsidRDefault="00C63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F7E" w:rsidRDefault="00C63F7E">
      <w:pPr>
        <w:spacing w:after="0" w:line="240" w:lineRule="auto"/>
      </w:pPr>
      <w:r>
        <w:separator/>
      </w:r>
    </w:p>
  </w:footnote>
  <w:footnote w:type="continuationSeparator" w:id="0">
    <w:p w:rsidR="00C63F7E" w:rsidRDefault="00C63F7E">
      <w:pPr>
        <w:spacing w:after="0" w:line="240" w:lineRule="auto"/>
      </w:pPr>
      <w:r>
        <w:continuationSeparator/>
      </w:r>
    </w:p>
  </w:footnote>
  <w:footnote w:id="1">
    <w:p w:rsidR="003B4ED9" w:rsidRDefault="00C63F7E">
      <w:pPr>
        <w:spacing w:after="0" w:line="240" w:lineRule="auto"/>
        <w:rPr>
          <w:sz w:val="20"/>
          <w:szCs w:val="20"/>
          <w:highlight w:val="white"/>
        </w:rPr>
      </w:pPr>
      <w:r>
        <w:rPr>
          <w:vertAlign w:val="superscript"/>
        </w:rPr>
        <w:footnoteRef/>
      </w:r>
      <w:r>
        <w:rPr>
          <w:sz w:val="20"/>
          <w:szCs w:val="20"/>
          <w:highlight w:val="white"/>
        </w:rPr>
        <w:t xml:space="preserve"> </w:t>
      </w:r>
      <w:r>
        <w:rPr>
          <w:highlight w:val="white"/>
        </w:rPr>
        <w:t xml:space="preserve"> </w:t>
      </w:r>
      <w:r>
        <w:rPr>
          <w:sz w:val="20"/>
          <w:szCs w:val="20"/>
          <w:highlight w:val="white"/>
        </w:rPr>
        <w:t>SEP (2019).</w:t>
      </w:r>
      <w:r>
        <w:rPr>
          <w:i/>
          <w:sz w:val="20"/>
          <w:szCs w:val="20"/>
          <w:highlight w:val="white"/>
        </w:rPr>
        <w:t xml:space="preserve"> Lineamientos generales del proceso de selección para la promoción a funciones de dirección y de supervisión en Educación Básica</w:t>
      </w:r>
      <w:r>
        <w:rPr>
          <w:sz w:val="20"/>
          <w:szCs w:val="20"/>
          <w:highlight w:val="white"/>
        </w:rPr>
        <w:t xml:space="preserve">. </w:t>
      </w:r>
      <w:r>
        <w:rPr>
          <w:i/>
          <w:sz w:val="20"/>
          <w:szCs w:val="20"/>
          <w:highlight w:val="white"/>
        </w:rPr>
        <w:t>Promoción Vertica</w:t>
      </w:r>
      <w:r>
        <w:rPr>
          <w:sz w:val="20"/>
          <w:szCs w:val="20"/>
          <w:highlight w:val="white"/>
        </w:rPr>
        <w:t>l p.13.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3A3A21"/>
    <w:multiLevelType w:val="multilevel"/>
    <w:tmpl w:val="625E3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2C0785A"/>
    <w:multiLevelType w:val="multilevel"/>
    <w:tmpl w:val="C87E1D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ED9"/>
    <w:rsid w:val="003B4ED9"/>
    <w:rsid w:val="00C63F7E"/>
    <w:rsid w:val="00EF1F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A2F064-70DC-476E-AEE1-53AF8D4FA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1070</Words>
  <Characters>5889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Guevara</dc:creator>
  <cp:lastModifiedBy>Ruth Guevara</cp:lastModifiedBy>
  <cp:revision>2</cp:revision>
  <dcterms:created xsi:type="dcterms:W3CDTF">2020-01-20T18:25:00Z</dcterms:created>
  <dcterms:modified xsi:type="dcterms:W3CDTF">2020-01-20T18:25:00Z</dcterms:modified>
</cp:coreProperties>
</file>