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9C2" w:rsidRDefault="00034B93">
      <w:pPr>
        <w:pBdr>
          <w:top w:val="nil"/>
          <w:left w:val="nil"/>
          <w:bottom w:val="nil"/>
          <w:right w:val="nil"/>
          <w:between w:val="nil"/>
        </w:pBdr>
        <w:spacing w:after="0"/>
        <w:jc w:val="center"/>
        <w:rPr>
          <w:b/>
          <w:color w:val="205968"/>
          <w:sz w:val="24"/>
          <w:szCs w:val="24"/>
        </w:rPr>
      </w:pPr>
      <w:r>
        <w:rPr>
          <w:b/>
          <w:color w:val="205968"/>
          <w:sz w:val="24"/>
          <w:szCs w:val="24"/>
        </w:rPr>
        <w:t>Ficha técnica</w:t>
      </w:r>
    </w:p>
    <w:p w:rsidR="008479C2" w:rsidRDefault="00034B93">
      <w:pPr>
        <w:pBdr>
          <w:top w:val="nil"/>
          <w:left w:val="nil"/>
          <w:bottom w:val="nil"/>
          <w:right w:val="nil"/>
          <w:between w:val="nil"/>
        </w:pBdr>
        <w:spacing w:after="0" w:line="240" w:lineRule="auto"/>
        <w:jc w:val="center"/>
        <w:rPr>
          <w:color w:val="205968"/>
          <w:sz w:val="24"/>
          <w:szCs w:val="24"/>
        </w:rPr>
      </w:pPr>
      <w:r>
        <w:rPr>
          <w:color w:val="205968"/>
          <w:sz w:val="24"/>
          <w:szCs w:val="24"/>
        </w:rPr>
        <w:t xml:space="preserve">Instrumentos de valoración del Sistema de Apreciación de Conocimientos y Aptitudes </w:t>
      </w:r>
    </w:p>
    <w:tbl>
      <w:tblPr>
        <w:tblStyle w:val="a"/>
        <w:tblW w:w="10994" w:type="dxa"/>
        <w:tblInd w:w="-504"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064"/>
        <w:gridCol w:w="8930"/>
      </w:tblGrid>
      <w:tr w:rsidR="008479C2" w:rsidTr="009D3744">
        <w:trPr>
          <w:trHeight w:val="208"/>
        </w:trPr>
        <w:tc>
          <w:tcPr>
            <w:tcW w:w="2064" w:type="dxa"/>
            <w:shd w:val="clear" w:color="auto" w:fill="DBE5F1"/>
            <w:vAlign w:val="center"/>
          </w:tcPr>
          <w:p w:rsidR="008479C2" w:rsidRDefault="00034B93" w:rsidP="009D3744">
            <w:pPr>
              <w:pBdr>
                <w:top w:val="nil"/>
                <w:left w:val="nil"/>
                <w:bottom w:val="nil"/>
                <w:right w:val="nil"/>
                <w:between w:val="nil"/>
              </w:pBdr>
              <w:spacing w:line="259" w:lineRule="auto"/>
              <w:jc w:val="center"/>
              <w:rPr>
                <w:color w:val="1F3864"/>
              </w:rPr>
            </w:pPr>
            <w:r>
              <w:rPr>
                <w:color w:val="1F3864"/>
              </w:rPr>
              <w:t>Rubro</w:t>
            </w:r>
          </w:p>
        </w:tc>
        <w:tc>
          <w:tcPr>
            <w:tcW w:w="8930" w:type="dxa"/>
            <w:shd w:val="clear" w:color="auto" w:fill="DBE5F1"/>
            <w:vAlign w:val="center"/>
          </w:tcPr>
          <w:p w:rsidR="008479C2" w:rsidRDefault="00034B93" w:rsidP="009D3744">
            <w:pPr>
              <w:pBdr>
                <w:top w:val="nil"/>
                <w:left w:val="nil"/>
                <w:bottom w:val="nil"/>
                <w:right w:val="nil"/>
                <w:between w:val="nil"/>
              </w:pBdr>
              <w:jc w:val="center"/>
              <w:rPr>
                <w:color w:val="1F3864"/>
              </w:rPr>
            </w:pPr>
            <w:r>
              <w:rPr>
                <w:color w:val="1F3864"/>
              </w:rPr>
              <w:t>Descripción</w:t>
            </w:r>
          </w:p>
        </w:tc>
      </w:tr>
      <w:tr w:rsidR="008479C2" w:rsidTr="00A62C29">
        <w:trPr>
          <w:trHeight w:val="493"/>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Nombre del instrumento</w:t>
            </w:r>
          </w:p>
        </w:tc>
        <w:tc>
          <w:tcPr>
            <w:tcW w:w="8930" w:type="dxa"/>
            <w:vAlign w:val="center"/>
          </w:tcPr>
          <w:p w:rsidR="008479C2" w:rsidRDefault="00034B93" w:rsidP="00944ED3">
            <w:pPr>
              <w:pBdr>
                <w:top w:val="nil"/>
                <w:left w:val="nil"/>
                <w:bottom w:val="nil"/>
                <w:right w:val="nil"/>
                <w:between w:val="nil"/>
              </w:pBdr>
              <w:spacing w:line="259" w:lineRule="auto"/>
              <w:rPr>
                <w:color w:val="000000"/>
              </w:rPr>
            </w:pPr>
            <w:r>
              <w:rPr>
                <w:color w:val="000000"/>
              </w:rPr>
              <w:t>Encuesta de percepción de pares, alumnos, madres y padres de familia o tutores para la promoción a funciones de supervisión.</w:t>
            </w:r>
          </w:p>
        </w:tc>
      </w:tr>
      <w:tr w:rsidR="008479C2" w:rsidTr="009D3744">
        <w:trPr>
          <w:trHeight w:val="18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Clave interna</w:t>
            </w:r>
          </w:p>
        </w:tc>
        <w:tc>
          <w:tcPr>
            <w:tcW w:w="8930" w:type="dxa"/>
            <w:shd w:val="clear" w:color="auto" w:fill="FFFFFF"/>
            <w:vAlign w:val="center"/>
          </w:tcPr>
          <w:p w:rsidR="008479C2" w:rsidRDefault="00034B93" w:rsidP="00944ED3">
            <w:pPr>
              <w:pBdr>
                <w:top w:val="nil"/>
                <w:left w:val="nil"/>
                <w:bottom w:val="nil"/>
                <w:right w:val="nil"/>
                <w:between w:val="nil"/>
              </w:pBdr>
              <w:spacing w:line="259" w:lineRule="auto"/>
              <w:rPr>
                <w:color w:val="000000"/>
              </w:rPr>
            </w:pPr>
            <w:r>
              <w:rPr>
                <w:color w:val="000000"/>
              </w:rPr>
              <w:t>Por definir.</w:t>
            </w:r>
          </w:p>
        </w:tc>
      </w:tr>
      <w:tr w:rsidR="008479C2" w:rsidTr="009D3744">
        <w:trPr>
          <w:trHeight w:val="252"/>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Proceso de selección</w:t>
            </w:r>
          </w:p>
        </w:tc>
        <w:tc>
          <w:tcPr>
            <w:tcW w:w="8930" w:type="dxa"/>
            <w:vAlign w:val="center"/>
          </w:tcPr>
          <w:p w:rsidR="008479C2" w:rsidRDefault="00034B93" w:rsidP="00944ED3">
            <w:pPr>
              <w:pBdr>
                <w:top w:val="nil"/>
                <w:left w:val="nil"/>
                <w:bottom w:val="nil"/>
                <w:right w:val="nil"/>
                <w:between w:val="nil"/>
              </w:pBdr>
              <w:spacing w:line="259" w:lineRule="auto"/>
              <w:rPr>
                <w:color w:val="000000"/>
                <w:highlight w:val="yellow"/>
              </w:rPr>
            </w:pPr>
            <w:r>
              <w:rPr>
                <w:color w:val="000000"/>
              </w:rPr>
              <w:t>Promoción vertical a funciones de supervisión en Educación Básica.</w:t>
            </w:r>
          </w:p>
        </w:tc>
      </w:tr>
      <w:tr w:rsidR="008479C2" w:rsidTr="00A62C29">
        <w:trPr>
          <w:trHeight w:val="317"/>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1F3864"/>
              </w:rPr>
              <w:t xml:space="preserve">Etapa del proceso de selección </w:t>
            </w:r>
          </w:p>
        </w:tc>
        <w:tc>
          <w:tcPr>
            <w:tcW w:w="8930" w:type="dxa"/>
            <w:shd w:val="clear" w:color="auto" w:fill="auto"/>
            <w:vAlign w:val="center"/>
          </w:tcPr>
          <w:p w:rsidR="008479C2" w:rsidRDefault="00034B93" w:rsidP="00F0135B">
            <w:pPr>
              <w:pBdr>
                <w:top w:val="nil"/>
                <w:left w:val="nil"/>
                <w:bottom w:val="nil"/>
                <w:right w:val="nil"/>
                <w:between w:val="nil"/>
              </w:pBdr>
              <w:spacing w:line="259" w:lineRule="auto"/>
              <w:rPr>
                <w:color w:val="000000"/>
                <w:highlight w:val="white"/>
              </w:rPr>
            </w:pPr>
            <w:r>
              <w:rPr>
                <w:color w:val="000000"/>
              </w:rPr>
              <w:t>Etapa 2 del proceso de selección para la promoción a las funciones de dirección y supervisión</w:t>
            </w:r>
            <w:r w:rsidR="00F0135B">
              <w:rPr>
                <w:color w:val="000000"/>
              </w:rPr>
              <w:t>.</w:t>
            </w:r>
          </w:p>
        </w:tc>
      </w:tr>
      <w:tr w:rsidR="008479C2" w:rsidTr="00A62C29">
        <w:trPr>
          <w:trHeight w:val="129"/>
        </w:trPr>
        <w:tc>
          <w:tcPr>
            <w:tcW w:w="2064" w:type="dxa"/>
            <w:shd w:val="clear" w:color="auto" w:fill="DBE5F1"/>
            <w:vAlign w:val="center"/>
          </w:tcPr>
          <w:p w:rsidR="008479C2" w:rsidRDefault="00034B93" w:rsidP="00F0135B">
            <w:pPr>
              <w:pBdr>
                <w:top w:val="nil"/>
                <w:left w:val="nil"/>
                <w:bottom w:val="nil"/>
                <w:right w:val="nil"/>
                <w:between w:val="nil"/>
              </w:pBdr>
              <w:spacing w:line="259" w:lineRule="auto"/>
              <w:rPr>
                <w:color w:val="002060"/>
              </w:rPr>
            </w:pPr>
            <w:r>
              <w:rPr>
                <w:color w:val="002060"/>
              </w:rPr>
              <w:t>Año  de aplicación</w:t>
            </w:r>
          </w:p>
        </w:tc>
        <w:tc>
          <w:tcPr>
            <w:tcW w:w="8930" w:type="dxa"/>
            <w:shd w:val="clear" w:color="auto" w:fill="auto"/>
            <w:vAlign w:val="center"/>
          </w:tcPr>
          <w:p w:rsidR="008479C2" w:rsidRDefault="00034B93" w:rsidP="00944ED3">
            <w:pPr>
              <w:pBdr>
                <w:top w:val="nil"/>
                <w:left w:val="nil"/>
                <w:bottom w:val="nil"/>
                <w:right w:val="nil"/>
                <w:between w:val="nil"/>
              </w:pBdr>
              <w:spacing w:line="259" w:lineRule="auto"/>
              <w:rPr>
                <w:color w:val="000000"/>
              </w:rPr>
            </w:pPr>
            <w:r>
              <w:rPr>
                <w:color w:val="000000"/>
              </w:rPr>
              <w:t>2020</w:t>
            </w:r>
          </w:p>
        </w:tc>
      </w:tr>
      <w:tr w:rsidR="008479C2" w:rsidTr="00A62C29">
        <w:trPr>
          <w:trHeight w:val="587"/>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 xml:space="preserve">Propósito </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docentes, autoridades, madres y padres de familia o tutores, mediante la recopilación sistematizada de la percepción que </w:t>
            </w:r>
            <w:r w:rsidR="00944ED3">
              <w:rPr>
                <w:color w:val="000000"/>
              </w:rPr>
              <w:t>estos actores tienen</w:t>
            </w:r>
            <w:r>
              <w:rPr>
                <w:color w:val="000000"/>
              </w:rPr>
              <w:t xml:space="preserve"> sobre el trabajo realizado por el aspirante en el cumplimiento de s</w:t>
            </w:r>
            <w:r>
              <w:rPr>
                <w:color w:val="000000"/>
                <w:highlight w:val="white"/>
              </w:rPr>
              <w:t xml:space="preserve">us funciones de dirección o de supervisión y </w:t>
            </w:r>
            <w:r>
              <w:rPr>
                <w:color w:val="000000"/>
              </w:rPr>
              <w:t>sus aportaciones al colectivo escolar, que permitan servir como base para la retroalimentación educativa.</w:t>
            </w:r>
            <w:r>
              <w:rPr>
                <w:color w:val="000000"/>
                <w:vertAlign w:val="superscript"/>
              </w:rPr>
              <w:footnoteReference w:id="1"/>
            </w:r>
            <w:r>
              <w:rPr>
                <w:color w:val="000000"/>
              </w:rPr>
              <w:t xml:space="preserve"> </w:t>
            </w:r>
          </w:p>
        </w:tc>
      </w:tr>
      <w:tr w:rsidR="008479C2" w:rsidTr="009D3744">
        <w:trPr>
          <w:trHeight w:val="954"/>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Informantes clave</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sidR="008E57FB">
              <w:rPr>
                <w:color w:val="000000"/>
              </w:rPr>
              <w:t xml:space="preserve">se considera que </w:t>
            </w:r>
            <w:r>
              <w:rPr>
                <w:color w:val="000000"/>
              </w:rPr>
              <w:t>aportar</w:t>
            </w:r>
            <w:r w:rsidR="008E57FB">
              <w:rPr>
                <w:color w:val="000000"/>
              </w:rPr>
              <w:t>án</w:t>
            </w:r>
            <w:r>
              <w:rPr>
                <w:color w:val="000000"/>
              </w:rPr>
              <w:t xml:space="preserve"> información relevante sobre el desempeño del aspirante</w:t>
            </w:r>
            <w:r w:rsidR="008E57FB">
              <w:rPr>
                <w:color w:val="000000"/>
              </w:rPr>
              <w:t xml:space="preserve"> para efectos de una valoración global</w:t>
            </w:r>
            <w:r>
              <w:rPr>
                <w:color w:val="000000"/>
              </w:rPr>
              <w:t>. La tabla siguiente muestra a los informantes de las figuras que aspiran al ascenso de categoría.</w:t>
            </w:r>
          </w:p>
          <w:p w:rsidR="00F0135B" w:rsidRDefault="00F0135B" w:rsidP="00F0135B">
            <w:pPr>
              <w:pBdr>
                <w:top w:val="nil"/>
                <w:left w:val="nil"/>
                <w:bottom w:val="nil"/>
                <w:right w:val="nil"/>
                <w:between w:val="nil"/>
              </w:pBdr>
              <w:jc w:val="both"/>
              <w:rPr>
                <w:color w:val="000000"/>
              </w:rPr>
            </w:pPr>
          </w:p>
          <w:p w:rsidR="008479C2" w:rsidRDefault="00034B93" w:rsidP="008E57FB">
            <w:pPr>
              <w:pBdr>
                <w:top w:val="nil"/>
                <w:left w:val="nil"/>
                <w:bottom w:val="nil"/>
                <w:right w:val="nil"/>
                <w:between w:val="nil"/>
              </w:pBdr>
              <w:spacing w:line="259" w:lineRule="auto"/>
              <w:jc w:val="center"/>
              <w:rPr>
                <w:color w:val="000000"/>
              </w:rPr>
            </w:pPr>
            <w:r>
              <w:rPr>
                <w:color w:val="000000"/>
              </w:rPr>
              <w:t>Tabla 1. Informantes clave</w:t>
            </w:r>
          </w:p>
          <w:tbl>
            <w:tblPr>
              <w:tblStyle w:val="a0"/>
              <w:tblW w:w="8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12"/>
              <w:gridCol w:w="1559"/>
              <w:gridCol w:w="1985"/>
              <w:gridCol w:w="1559"/>
              <w:gridCol w:w="992"/>
              <w:gridCol w:w="1448"/>
            </w:tblGrid>
            <w:tr w:rsidR="008479C2" w:rsidTr="00A62C29">
              <w:trPr>
                <w:trHeight w:val="200"/>
              </w:trPr>
              <w:tc>
                <w:tcPr>
                  <w:tcW w:w="1312"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Figura</w:t>
                  </w:r>
                </w:p>
              </w:tc>
              <w:tc>
                <w:tcPr>
                  <w:tcW w:w="1559"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 xml:space="preserve"> </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Función a la que aspira</w:t>
                  </w:r>
                </w:p>
              </w:tc>
              <w:tc>
                <w:tcPr>
                  <w:tcW w:w="5984"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Informantes</w:t>
                  </w:r>
                </w:p>
              </w:tc>
            </w:tr>
            <w:tr w:rsidR="008479C2" w:rsidTr="00A62C29">
              <w:trPr>
                <w:trHeight w:val="619"/>
              </w:trPr>
              <w:tc>
                <w:tcPr>
                  <w:tcW w:w="1312"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559"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Docentes/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Colectivo docente (Consejo Técnico Escolar)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Pares/</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Directores (Consejo Técnico de Zona)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Autoridad inmediata superior</w:t>
                  </w:r>
                </w:p>
              </w:tc>
              <w:tc>
                <w:tcPr>
                  <w:tcW w:w="144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Madres y padres de familia/</w:t>
                  </w:r>
                </w:p>
                <w:p w:rsidR="008479C2" w:rsidRDefault="00034B93" w:rsidP="00F0135B">
                  <w:pPr>
                    <w:pBdr>
                      <w:top w:val="nil"/>
                      <w:left w:val="nil"/>
                      <w:bottom w:val="nil"/>
                      <w:right w:val="nil"/>
                      <w:between w:val="nil"/>
                    </w:pBdr>
                    <w:jc w:val="center"/>
                    <w:rPr>
                      <w:color w:val="000000"/>
                      <w:sz w:val="17"/>
                      <w:szCs w:val="17"/>
                      <w:highlight w:val="white"/>
                    </w:rPr>
                  </w:pPr>
                  <w:r>
                    <w:rPr>
                      <w:color w:val="000000"/>
                      <w:sz w:val="17"/>
                      <w:szCs w:val="17"/>
                      <w:highlight w:val="white"/>
                    </w:rPr>
                    <w:t>Tutores</w:t>
                  </w:r>
                </w:p>
              </w:tc>
            </w:tr>
            <w:tr w:rsidR="008479C2" w:rsidTr="00A62C29">
              <w:trPr>
                <w:trHeight w:val="217"/>
              </w:trPr>
              <w:tc>
                <w:tcPr>
                  <w:tcW w:w="1312"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Director</w:t>
                  </w:r>
                </w:p>
              </w:tc>
              <w:tc>
                <w:tcPr>
                  <w:tcW w:w="1559" w:type="dxa"/>
                  <w:vMerge w:val="restart"/>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tc>
              <w:tc>
                <w:tcPr>
                  <w:tcW w:w="1985"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r w:rsidR="008479C2" w:rsidTr="00A62C29">
              <w:trPr>
                <w:trHeight w:val="46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Asesor Técnico Pedagógico</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327"/>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Jefe de Enseñanza</w:t>
                  </w:r>
                </w:p>
              </w:tc>
              <w:tc>
                <w:tcPr>
                  <w:tcW w:w="1559" w:type="dxa"/>
                  <w:vMerge/>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widowControl w:val="0"/>
                    <w:pBdr>
                      <w:top w:val="nil"/>
                      <w:left w:val="nil"/>
                      <w:bottom w:val="nil"/>
                      <w:right w:val="nil"/>
                      <w:between w:val="nil"/>
                    </w:pBdr>
                    <w:rPr>
                      <w:color w:val="000000"/>
                      <w:sz w:val="17"/>
                      <w:szCs w:val="17"/>
                      <w:highlight w:val="white"/>
                    </w:rPr>
                  </w:pP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r>
            <w:tr w:rsidR="008479C2" w:rsidTr="00A62C29">
              <w:trPr>
                <w:trHeight w:val="279"/>
              </w:trPr>
              <w:tc>
                <w:tcPr>
                  <w:tcW w:w="1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Supervisor/</w:t>
                  </w:r>
                </w:p>
                <w:p w:rsidR="008479C2" w:rsidRDefault="00034B93" w:rsidP="00F0135B">
                  <w:pPr>
                    <w:pBdr>
                      <w:top w:val="nil"/>
                      <w:left w:val="nil"/>
                      <w:bottom w:val="nil"/>
                      <w:right w:val="nil"/>
                      <w:between w:val="nil"/>
                    </w:pBdr>
                    <w:rPr>
                      <w:color w:val="000000"/>
                      <w:sz w:val="17"/>
                      <w:szCs w:val="17"/>
                      <w:highlight w:val="white"/>
                    </w:rPr>
                  </w:pPr>
                  <w:r>
                    <w:rPr>
                      <w:color w:val="000000"/>
                      <w:sz w:val="17"/>
                      <w:szCs w:val="17"/>
                      <w:highlight w:val="white"/>
                    </w:rPr>
                    <w:t>Inspector</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Jefe de Sector/</w:t>
                  </w:r>
                </w:p>
                <w:p w:rsidR="008479C2" w:rsidRDefault="00034B93" w:rsidP="00F0135B">
                  <w:pPr>
                    <w:pBdr>
                      <w:top w:val="nil"/>
                      <w:left w:val="nil"/>
                      <w:bottom w:val="nil"/>
                      <w:right w:val="nil"/>
                      <w:between w:val="nil"/>
                    </w:pBdr>
                    <w:jc w:val="both"/>
                    <w:rPr>
                      <w:color w:val="000000"/>
                      <w:sz w:val="17"/>
                      <w:szCs w:val="17"/>
                      <w:highlight w:val="white"/>
                    </w:rPr>
                  </w:pPr>
                  <w:r>
                    <w:rPr>
                      <w:color w:val="000000"/>
                      <w:sz w:val="17"/>
                      <w:szCs w:val="17"/>
                      <w:highlight w:val="white"/>
                    </w:rPr>
                    <w:t>Inspector General</w:t>
                  </w:r>
                </w:p>
              </w:tc>
              <w:tc>
                <w:tcPr>
                  <w:tcW w:w="1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c>
                <w:tcPr>
                  <w:tcW w:w="9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479C2" w:rsidRDefault="008479C2" w:rsidP="00F0135B">
                  <w:pPr>
                    <w:pBdr>
                      <w:top w:val="nil"/>
                      <w:left w:val="nil"/>
                      <w:bottom w:val="nil"/>
                      <w:right w:val="nil"/>
                      <w:between w:val="nil"/>
                    </w:pBdr>
                    <w:jc w:val="center"/>
                    <w:rPr>
                      <w:color w:val="000000"/>
                      <w:sz w:val="17"/>
                      <w:szCs w:val="17"/>
                      <w:highlight w:val="white"/>
                    </w:rPr>
                  </w:pPr>
                </w:p>
              </w:tc>
              <w:tc>
                <w:tcPr>
                  <w:tcW w:w="14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rsidR="008479C2" w:rsidRDefault="008479C2" w:rsidP="00F0135B">
                  <w:pPr>
                    <w:numPr>
                      <w:ilvl w:val="0"/>
                      <w:numId w:val="3"/>
                    </w:numPr>
                    <w:pBdr>
                      <w:top w:val="nil"/>
                      <w:left w:val="nil"/>
                      <w:bottom w:val="nil"/>
                      <w:right w:val="nil"/>
                      <w:between w:val="nil"/>
                    </w:pBdr>
                    <w:jc w:val="center"/>
                    <w:rPr>
                      <w:color w:val="000000"/>
                      <w:sz w:val="20"/>
                      <w:szCs w:val="20"/>
                    </w:rPr>
                  </w:pPr>
                </w:p>
              </w:tc>
            </w:tr>
          </w:tbl>
          <w:p w:rsidR="008479C2" w:rsidRDefault="00034B93" w:rsidP="00F0135B">
            <w:pPr>
              <w:pBdr>
                <w:top w:val="nil"/>
                <w:left w:val="nil"/>
                <w:bottom w:val="nil"/>
                <w:right w:val="nil"/>
                <w:between w:val="nil"/>
              </w:pBdr>
              <w:spacing w:before="240" w:after="240"/>
              <w:rPr>
                <w:color w:val="000000"/>
              </w:rPr>
            </w:pPr>
            <w:r>
              <w:rPr>
                <w:color w:val="000000"/>
              </w:rPr>
              <w:t>Para la promoción del personal con funciones de dirección que aspiran a promoverse a funciones de supervisión se consideran como informantes clave a los siguientes:</w:t>
            </w:r>
          </w:p>
          <w:p w:rsidR="008479C2" w:rsidRDefault="00034B93" w:rsidP="00F0135B">
            <w:pPr>
              <w:pBdr>
                <w:top w:val="nil"/>
                <w:left w:val="nil"/>
                <w:bottom w:val="nil"/>
                <w:right w:val="nil"/>
                <w:between w:val="nil"/>
              </w:pBdr>
              <w:spacing w:after="160"/>
              <w:jc w:val="both"/>
              <w:rPr>
                <w:color w:val="000000"/>
              </w:rPr>
            </w:pPr>
            <w:r>
              <w:rPr>
                <w:color w:val="000000"/>
                <w:u w:val="single"/>
              </w:rPr>
              <w:lastRenderedPageBreak/>
              <w:t>Docentes,</w:t>
            </w:r>
            <w:r>
              <w:rPr>
                <w:color w:val="000000"/>
              </w:rPr>
              <w:t xml:space="preserve"> del mismo plantel donde labora el aspirante, cuyas acciones de su ejercicio docente tanto individual como en el colectivo escolar están organizadas, coordinadas, dirigidas, asesoradas y acompañadas por el aspirante.</w:t>
            </w:r>
          </w:p>
          <w:p w:rsidR="008479C2" w:rsidRDefault="00034B93" w:rsidP="00F0135B">
            <w:pPr>
              <w:pBdr>
                <w:top w:val="nil"/>
                <w:left w:val="nil"/>
                <w:bottom w:val="nil"/>
                <w:right w:val="nil"/>
                <w:between w:val="nil"/>
              </w:pBdr>
              <w:spacing w:after="160"/>
              <w:jc w:val="both"/>
            </w:pPr>
            <w:r>
              <w:rPr>
                <w:color w:val="000000"/>
                <w:u w:val="single"/>
              </w:rPr>
              <w:t>Directores</w:t>
            </w:r>
            <w:r>
              <w:rPr>
                <w:color w:val="000000"/>
              </w:rPr>
              <w:t xml:space="preserve">, pares que desempeñan las mismas funciones que el aspirante, que forman parte y participan en las acciones del colectivo de la zona escolar; están familiarizados con las tareas, características, dificultades y pormenores asociados con el ejercicio de la función directiva y que conocen las responsabilidades de la función de supervisión. </w:t>
            </w:r>
          </w:p>
          <w:p w:rsidR="008479C2" w:rsidRDefault="00034B93" w:rsidP="00F0135B">
            <w:pPr>
              <w:pBdr>
                <w:top w:val="nil"/>
                <w:left w:val="nil"/>
                <w:bottom w:val="nil"/>
                <w:right w:val="nil"/>
                <w:between w:val="nil"/>
              </w:pBdr>
              <w:spacing w:after="160"/>
              <w:jc w:val="both"/>
              <w:rPr>
                <w:color w:val="000000"/>
              </w:rPr>
            </w:pPr>
            <w:r>
              <w:rPr>
                <w:color w:val="000000"/>
                <w:u w:val="single"/>
              </w:rPr>
              <w:t>Madres, padres de familia o tutores</w:t>
            </w:r>
            <w:r>
              <w:rPr>
                <w:color w:val="000000"/>
              </w:rPr>
              <w:t>: de los alumnos inscritos en el plantel escolar en el que el aspirante ejerce su función directiva, quienes tienen una relación directa con el aspirante y con la escuela para contribuir de manera corresponsable en el proceso de aprendizaje y desarrollo integral de sus hijos.</w:t>
            </w:r>
          </w:p>
          <w:p w:rsidR="008479C2" w:rsidRDefault="00034B93" w:rsidP="00F0135B">
            <w:pPr>
              <w:pBdr>
                <w:top w:val="nil"/>
                <w:left w:val="nil"/>
                <w:bottom w:val="nil"/>
                <w:right w:val="nil"/>
                <w:between w:val="nil"/>
              </w:pBdr>
              <w:jc w:val="both"/>
              <w:rPr>
                <w:color w:val="000000"/>
              </w:rPr>
            </w:pPr>
            <w:r>
              <w:rPr>
                <w:color w:val="000000"/>
              </w:rPr>
              <w:t>Como informantes clave para los jefes de enseñanza y asesores técnico pedagógicos que aspiran a la función inmediata superior se consideran como informantes clave: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Docentes,</w:t>
            </w:r>
            <w:r>
              <w:rPr>
                <w:color w:val="000000"/>
              </w:rPr>
              <w:t xml:space="preserve"> de los planteles donde labora el aspirante, cuyas acciones de su ejercicio docente tanto individual como en el colectivo escolar están organizadas, coordinadas, dirigidas, asesoradas y acompañadas por el aspirante.</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Pares</w:t>
            </w:r>
            <w:r>
              <w:rPr>
                <w:color w:val="000000"/>
              </w:rPr>
              <w:t>: jefes de enseñanza o asesores técnico pedagógicos que desempeñan las funciones de supervisión, asesoría y acompañamiento técnico pedagógico y que se encuentran adscritos ya sea a la zona escolar o sector o región de procedencia.</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u w:val="single"/>
              </w:rPr>
              <w:t>Autoridad inmediata superior:</w:t>
            </w:r>
            <w:r>
              <w:rPr>
                <w:color w:val="000000"/>
              </w:rPr>
              <w:t xml:space="preserve"> es la autoridad responsable de la organización y supervisión del trabajo que realizan los jefes de enseñanza y los asesores técnico pedagógicos.</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jc w:val="both"/>
              <w:rPr>
                <w:color w:val="000000"/>
              </w:rPr>
            </w:pPr>
            <w:r>
              <w:rPr>
                <w:color w:val="000000"/>
              </w:rPr>
              <w:t xml:space="preserve">Como informantes clave para los supervisores que aspiran a la función inmediata superior se consideran los siguientes: </w:t>
            </w:r>
          </w:p>
          <w:p w:rsidR="008E57FB" w:rsidRDefault="008E57FB" w:rsidP="00F0135B">
            <w:pPr>
              <w:pBdr>
                <w:top w:val="nil"/>
                <w:left w:val="nil"/>
                <w:bottom w:val="nil"/>
                <w:right w:val="nil"/>
                <w:between w:val="nil"/>
              </w:pBdr>
              <w:jc w:val="both"/>
              <w:rPr>
                <w:color w:val="000000"/>
              </w:rPr>
            </w:pPr>
          </w:p>
          <w:p w:rsidR="008479C2" w:rsidRDefault="00034B93" w:rsidP="00F0135B">
            <w:pPr>
              <w:pBdr>
                <w:top w:val="nil"/>
                <w:left w:val="nil"/>
                <w:bottom w:val="nil"/>
                <w:right w:val="nil"/>
                <w:between w:val="nil"/>
              </w:pBdr>
              <w:spacing w:after="160"/>
              <w:jc w:val="both"/>
              <w:rPr>
                <w:color w:val="000000"/>
              </w:rPr>
            </w:pPr>
            <w:r>
              <w:rPr>
                <w:color w:val="000000"/>
                <w:u w:val="single"/>
              </w:rPr>
              <w:t>Colectivos docentes,</w:t>
            </w:r>
            <w:r>
              <w:rPr>
                <w:color w:val="000000"/>
              </w:rPr>
              <w:t xml:space="preserve"> quienes se hacen cargo del proceso de enseñanza y aprendizaje en los planteles de la zona escolar a cargo del aspirante y llevan a cabo tareas conjuntas asociadas a organizar, orientar, asesorar y acompañar sus esfuerzos para atender las necesidades y retos que enfrentan en el logro de los aprendizajes de sus alumnos. Los colectivos escolares se organizan en el órgano colegiado denominado Consejo Técnico Escolar (CTE) integrado por el personal directivo y docente, así como por los actores educativos que están directamente relacionados con los procesos de enseñanza y aprendizaje en una escuela, en el que se lleva a cabo el análisis y la toma de decisiones que propicien la transformación de las prácticas docentes y facilita que niñas, niños y adolescentes logren los aprendizajes esperados, de modo que la escuela cumpla con su misión.</w:t>
            </w:r>
          </w:p>
          <w:p w:rsidR="008479C2" w:rsidRDefault="00034B93" w:rsidP="00F0135B">
            <w:pPr>
              <w:pBdr>
                <w:top w:val="nil"/>
                <w:left w:val="nil"/>
                <w:bottom w:val="nil"/>
                <w:right w:val="nil"/>
                <w:between w:val="nil"/>
              </w:pBdr>
              <w:jc w:val="both"/>
              <w:rPr>
                <w:color w:val="000000"/>
              </w:rPr>
            </w:pPr>
            <w:r>
              <w:rPr>
                <w:color w:val="000000"/>
                <w:u w:val="single"/>
              </w:rPr>
              <w:t>Colectivos de la zona escolar</w:t>
            </w:r>
            <w:r>
              <w:rPr>
                <w:color w:val="000000"/>
              </w:rPr>
              <w:t>, directores de los planteles a cargo del aspirante, que a su vez conforman y participan en el colectivo de la zona escolar. Están familiarizados con las tareas, características, dificultades y pormenores asociados con el ejercicio de la función de supervisión y realizan acciones en sus propios planteles que son organizadas, coordinadas, dirigidas, asesoradas y acompañadas por el aspirante. Los colectivos escolares participan en el Consejo Técnico de Zona (CTZ), órgano colegiado que se constituye como un espacio propicio para el análisis, la deliberación y la toma de decisiones sobre los asuntos educativos de la zona escolar, a la vez que constituye una oportunidad para el desarrollo profesional docente y la mejora de las escuelas. Sus tareas consisten en el trabajo colegiado entre el personal directivo y de supervisión para revisar los resultados educativos y las prácticas profesionales, a fin de tomar decisiones y establecer acuerdos y compromisos para mejorar la organización y el funcionamiento de las escuelas.</w:t>
            </w:r>
          </w:p>
          <w:p w:rsidR="008E57FB" w:rsidRDefault="008E57FB" w:rsidP="00F0135B">
            <w:pPr>
              <w:pBdr>
                <w:top w:val="nil"/>
                <w:left w:val="nil"/>
                <w:bottom w:val="nil"/>
                <w:right w:val="nil"/>
                <w:between w:val="nil"/>
              </w:pBdr>
              <w:jc w:val="both"/>
            </w:pPr>
          </w:p>
          <w:p w:rsidR="008479C2" w:rsidRDefault="00034B93" w:rsidP="00F0135B">
            <w:pPr>
              <w:pBdr>
                <w:top w:val="nil"/>
                <w:left w:val="nil"/>
                <w:bottom w:val="nil"/>
                <w:right w:val="nil"/>
                <w:between w:val="nil"/>
              </w:pBdr>
              <w:jc w:val="both"/>
              <w:rPr>
                <w:color w:val="000000"/>
              </w:rPr>
            </w:pPr>
            <w:r>
              <w:rPr>
                <w:color w:val="000000"/>
                <w:u w:val="single"/>
              </w:rPr>
              <w:lastRenderedPageBreak/>
              <w:t>Madres, padres de familia o tutores,</w:t>
            </w:r>
            <w:r>
              <w:rPr>
                <w:color w:val="000000"/>
              </w:rPr>
              <w:t xml:space="preserve"> de los alumnos inscritos en los planteles escolares que integran la zona a cargo del aspirante, quienes tienen una relación directa con el aspirante y con la escuela para contribuir de manera corresponsable en el proceso de aprendizaje y desarrollo integral de sus hijos.</w:t>
            </w:r>
          </w:p>
        </w:tc>
      </w:tr>
      <w:tr w:rsidR="008479C2" w:rsidTr="00A62C29">
        <w:trPr>
          <w:trHeight w:val="529"/>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lastRenderedPageBreak/>
              <w:t>Objeto de evaluación</w:t>
            </w:r>
          </w:p>
        </w:tc>
        <w:tc>
          <w:tcPr>
            <w:tcW w:w="8930" w:type="dxa"/>
            <w:vAlign w:val="center"/>
          </w:tcPr>
          <w:p w:rsidR="008479C2" w:rsidRDefault="00034B93" w:rsidP="00F0135B">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xml:space="preserve">, considerado </w:t>
            </w:r>
            <w:r w:rsidR="00944ED3">
              <w:rPr>
                <w:color w:val="000000"/>
              </w:rPr>
              <w:t xml:space="preserve">por el </w:t>
            </w:r>
            <w:r>
              <w:rPr>
                <w:color w:val="000000"/>
              </w:rPr>
              <w:t>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8E57FB" w:rsidRDefault="008E57FB" w:rsidP="00F0135B">
            <w:pPr>
              <w:pBdr>
                <w:top w:val="nil"/>
                <w:left w:val="nil"/>
                <w:bottom w:val="nil"/>
                <w:right w:val="nil"/>
                <w:between w:val="nil"/>
              </w:pBdr>
              <w:jc w:val="both"/>
              <w:rPr>
                <w:color w:val="0070C0"/>
              </w:rPr>
            </w:pPr>
          </w:p>
          <w:p w:rsidR="008479C2" w:rsidRDefault="00A55AC1" w:rsidP="00F0135B">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w:t>
            </w:r>
            <w:r w:rsidR="00836C7B">
              <w:rPr>
                <w:color w:val="000000"/>
                <w:highlight w:val="white"/>
              </w:rPr>
              <w:t xml:space="preserve">con base en </w:t>
            </w:r>
            <w:r w:rsidR="00836C7B">
              <w:rPr>
                <w:highlight w:val="white"/>
              </w:rPr>
              <w:t xml:space="preserve">el análisis del Perfil del Supervisor escolar establecido en los Perfiles Profesionales, Criterios e Indicadores, </w:t>
            </w:r>
            <w:r>
              <w:rPr>
                <w:color w:val="000000"/>
                <w:highlight w:val="white"/>
              </w:rPr>
              <w:t>se identifica un conjunto de tareas significativas que son comun</w:t>
            </w:r>
            <w:r w:rsidR="00836C7B">
              <w:rPr>
                <w:color w:val="000000"/>
                <w:highlight w:val="white"/>
              </w:rPr>
              <w:t>es en la población potencial</w:t>
            </w:r>
            <w:r>
              <w:rPr>
                <w:color w:val="000000"/>
                <w:highlight w:val="white"/>
              </w:rPr>
              <w:t xml:space="preserve">, en cuya valoración se centra el </w:t>
            </w:r>
            <w:r w:rsidR="00944ED3">
              <w:rPr>
                <w:highlight w:val="white"/>
              </w:rPr>
              <w:t>objeto de evaluación de la encuesta, desde la perspectiva de los informantes</w:t>
            </w:r>
            <w:r>
              <w:rPr>
                <w:highlight w:val="white"/>
              </w:rPr>
              <w:t xml:space="preserve"> clave seleccionados.</w:t>
            </w:r>
            <w:r w:rsidR="00944ED3">
              <w:rPr>
                <w:highlight w:val="white"/>
              </w:rPr>
              <w:t xml:space="preserve"> </w:t>
            </w:r>
            <w:r w:rsidR="00836C7B">
              <w:rPr>
                <w:highlight w:val="white"/>
              </w:rPr>
              <w:t>Tareas</w:t>
            </w:r>
            <w:r w:rsidR="00836C7B">
              <w:t xml:space="preserve"> cuya realización contribuye a </w:t>
            </w:r>
            <w:r w:rsidR="00836C7B">
              <w:rPr>
                <w:color w:val="000000"/>
              </w:rPr>
              <w:t xml:space="preserve">favorecer el máximo logro de aprendizajes de los estudiantes, en un marco de </w:t>
            </w:r>
            <w:r w:rsidR="00836C7B">
              <w:rPr>
                <w:highlight w:val="white"/>
              </w:rPr>
              <w:t>equidad e igualdad</w:t>
            </w:r>
            <w:r w:rsidR="00836C7B">
              <w:rPr>
                <w:color w:val="000000"/>
              </w:rPr>
              <w:t xml:space="preserve"> y en correspondencia con los principios de la Nueva Escuela Mexicana</w:t>
            </w:r>
            <w:r w:rsidR="00034B93">
              <w:rPr>
                <w:highlight w:val="white"/>
              </w:rPr>
              <w:t xml:space="preserve">. </w:t>
            </w:r>
          </w:p>
          <w:p w:rsidR="00034B93" w:rsidRDefault="00034B93" w:rsidP="00F0135B">
            <w:pPr>
              <w:spacing w:after="200"/>
              <w:jc w:val="both"/>
            </w:pPr>
            <w:r>
              <w:t>El conjunto de criterios e indicadores del Perfil del supervisor escolar identificados como susceptibles de apreciar mediante este instrumento</w:t>
            </w:r>
            <w:r w:rsidR="009B26A0">
              <w:t>,</w:t>
            </w:r>
            <w:r>
              <w:t xml:space="preserve"> a partir de la percepción de los informantes e imprescindibles de valorar en los aspirantes, por su cercana relación con los conocimientos y aptitudes necesarias para desempeñar la función de supervisión</w:t>
            </w:r>
            <w:r w:rsidR="009B26A0">
              <w:t>,</w:t>
            </w:r>
            <w:r>
              <w:t xml:space="preserve"> da como resultado una constelación de </w:t>
            </w:r>
            <w:r>
              <w:rPr>
                <w:highlight w:val="white"/>
              </w:rPr>
              <w:t>tareas comunes</w:t>
            </w:r>
            <w:r w:rsidR="00861F10">
              <w:rPr>
                <w:highlight w:val="white"/>
              </w:rPr>
              <w:t>*</w:t>
            </w:r>
            <w:r>
              <w:rPr>
                <w:highlight w:val="white"/>
              </w:rPr>
              <w:t xml:space="preserve"> que realiza la población objetivo y que para efectos del SISAP se integran en cuatro grandes rubros</w:t>
            </w:r>
            <w:r w:rsidR="009B26A0">
              <w:rPr>
                <w:highlight w:val="white"/>
              </w:rPr>
              <w:t xml:space="preserve">, que a su vez </w:t>
            </w:r>
            <w:r>
              <w:rPr>
                <w:highlight w:val="white"/>
              </w:rPr>
              <w:t>constitu</w:t>
            </w:r>
            <w:r w:rsidR="009B26A0">
              <w:rPr>
                <w:highlight w:val="white"/>
              </w:rPr>
              <w:t>yen</w:t>
            </w:r>
            <w:r>
              <w:rPr>
                <w:highlight w:val="white"/>
              </w:rPr>
              <w:t xml:space="preserve"> las áreas en que se organiza</w:t>
            </w:r>
            <w:r w:rsidR="009B26A0">
              <w:rPr>
                <w:highlight w:val="white"/>
              </w:rPr>
              <w:t>n las encuestas</w:t>
            </w:r>
            <w:r w:rsidR="009B26A0">
              <w:t xml:space="preserve"> destinadas a cada grupo informante. Éstas áreas son:</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Cultura escolar</w:t>
            </w:r>
            <w:r w:rsidR="009B26A0">
              <w:rPr>
                <w:color w:val="000000"/>
              </w:rPr>
              <w:t>. Á</w:t>
            </w:r>
            <w:r w:rsidR="009B26A0">
              <w:t xml:space="preserve">rea que refiere a </w:t>
            </w:r>
            <w:r>
              <w:t xml:space="preserve">un sistema de significados que rigen la vida en la escuela  y que incluyen las normas, los valores, las creencias, las ceremonias, los rituales, las tradiciones, y los mitos comprendidos, por los miembros de la comunidad escolar. </w:t>
            </w:r>
            <w:r w:rsidR="009B26A0">
              <w:t xml:space="preserve">En ella </w:t>
            </w:r>
            <w:r>
              <w:t xml:space="preserve">se </w:t>
            </w:r>
            <w:r w:rsidR="009B26A0">
              <w:t>busca</w:t>
            </w:r>
            <w:r>
              <w:rPr>
                <w:color w:val="000000"/>
              </w:rPr>
              <w:t xml:space="preserve"> indagar la percepción que tienen los informantes sobre las acciones que emprende el aspirante para generar espacios, condiciones y oportunidades que potencien el logro de aprendizajes de los alumnos, con apego a los principios éticos y a la normativa vigente de la materia.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Comunicación y relaciones interpersonales</w:t>
            </w:r>
            <w:r w:rsidR="009B26A0">
              <w:rPr>
                <w:color w:val="000000"/>
              </w:rPr>
              <w:t>. Área que refiere a</w:t>
            </w:r>
            <w:r>
              <w:t>l</w:t>
            </w:r>
            <w:r>
              <w:rPr>
                <w:color w:val="000000"/>
              </w:rPr>
              <w:t xml:space="preserve"> conjunto de procesos </w:t>
            </w:r>
            <w:r w:rsidR="000E28AA">
              <w:rPr>
                <w:color w:val="000000"/>
              </w:rPr>
              <w:t>de</w:t>
            </w:r>
            <w:r>
              <w:t xml:space="preserve"> construcción colectiva</w:t>
            </w:r>
            <w:r w:rsidR="009B26A0">
              <w:t xml:space="preserve"> </w:t>
            </w:r>
            <w:r>
              <w:t xml:space="preserve">a partir de la cual los aspirantes movilizan los recursos para el logro de los propósitos educativos en un marco de respeto, igualdad y equidad. </w:t>
            </w:r>
            <w:r w:rsidR="009B26A0">
              <w:t>E</w:t>
            </w:r>
            <w:r w:rsidR="000E28AA">
              <w:t>sta</w:t>
            </w:r>
            <w:r w:rsidR="009B26A0">
              <w:t xml:space="preserve"> área</w:t>
            </w:r>
            <w:r>
              <w:t xml:space="preserve"> se </w:t>
            </w:r>
            <w:r w:rsidR="000E28AA">
              <w:t xml:space="preserve">centra en </w:t>
            </w:r>
            <w:r>
              <w:t xml:space="preserve">indagar las habilidades que el aspirante pone en juego para que la escuela y la comunidad compartan una visión común del proyecto escolar en beneficio de los aprendizajes de los alumnos y participen de manera corresponsable en el logro del propósito educativo. </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Asesoría y acompañamiento</w:t>
            </w:r>
            <w:r w:rsidR="000E28AA">
              <w:rPr>
                <w:color w:val="000000"/>
              </w:rPr>
              <w:t xml:space="preserve">. Área </w:t>
            </w:r>
            <w:r w:rsidR="009B26A0">
              <w:t xml:space="preserve">que integra los </w:t>
            </w:r>
            <w:r>
              <w:t xml:space="preserve">procesos formativos y de colaboración continua, planificada y sistemática que desarrollan los aspirantes para la mejora de las prácticas docentes y directivas. </w:t>
            </w:r>
            <w:r w:rsidR="000E28AA">
              <w:t>E</w:t>
            </w:r>
            <w:r w:rsidR="009B26A0">
              <w:t>l foco de valoración será</w:t>
            </w:r>
            <w:r>
              <w:rPr>
                <w:color w:val="000000"/>
              </w:rPr>
              <w:t xml:space="preserve"> i</w:t>
            </w:r>
            <w:r>
              <w:t>ndagar sobre</w:t>
            </w:r>
            <w:r>
              <w:rPr>
                <w:color w:val="000000"/>
              </w:rPr>
              <w:t xml:space="preserve"> las acciones que los aspirantes ofrecen a los docentes en lo individual y en el colectivo, </w:t>
            </w:r>
            <w:r>
              <w:t xml:space="preserve">considerando la identificación de dificultades, la observación, el registro y análisis de las prácticas, el diálogo </w:t>
            </w:r>
            <w:r>
              <w:lastRenderedPageBreak/>
              <w:t>sistemático, así como la formulación, desarrollo y seguimiento de propuestas de mejora, con el fin de f</w:t>
            </w:r>
            <w:r>
              <w:rPr>
                <w:color w:val="000000"/>
              </w:rPr>
              <w:t>avorecer el logro de los aprendizajes de los alumnos en un ambiente de equidad e igualdad</w:t>
            </w:r>
            <w:r>
              <w:t>.</w:t>
            </w:r>
          </w:p>
          <w:p w:rsidR="008479C2" w:rsidRDefault="00034B93" w:rsidP="00F0135B">
            <w:pPr>
              <w:numPr>
                <w:ilvl w:val="0"/>
                <w:numId w:val="1"/>
              </w:numPr>
              <w:pBdr>
                <w:top w:val="nil"/>
                <w:left w:val="nil"/>
                <w:bottom w:val="nil"/>
                <w:right w:val="nil"/>
                <w:between w:val="nil"/>
              </w:pBdr>
              <w:spacing w:after="160"/>
              <w:ind w:left="467" w:hanging="284"/>
              <w:jc w:val="both"/>
            </w:pPr>
            <w:r>
              <w:rPr>
                <w:color w:val="000000"/>
              </w:rPr>
              <w:t>Gestión escolar</w:t>
            </w:r>
            <w:r w:rsidR="000E28AA">
              <w:rPr>
                <w:color w:val="000000"/>
              </w:rPr>
              <w:t xml:space="preserve">. Área que agrupa </w:t>
            </w:r>
            <w:r>
              <w:rPr>
                <w:color w:val="000000"/>
              </w:rPr>
              <w:t xml:space="preserve">aquellas tareas </w:t>
            </w:r>
            <w:r>
              <w:t>de</w:t>
            </w:r>
            <w:r>
              <w:rPr>
                <w:color w:val="000000"/>
              </w:rPr>
              <w:t xml:space="preserve"> </w:t>
            </w:r>
            <w:r w:rsidRPr="000E28AA">
              <w:rPr>
                <w:color w:val="000000"/>
              </w:rPr>
              <w:t xml:space="preserve">responsabilidad del aspirante para organizar, realizar, decidir, desarrollar y valorar lo relativo a la prestación del servicio educativo que brinda, de conformidad con el marco jurídico y administrativo aplicable, con el apoyo de los diversos actores educativos. </w:t>
            </w:r>
            <w:r w:rsidR="000E28AA">
              <w:rPr>
                <w:color w:val="000000"/>
              </w:rPr>
              <w:t xml:space="preserve">El área se centra en </w:t>
            </w:r>
            <w:r>
              <w:t>indagar sobre</w:t>
            </w:r>
            <w:r>
              <w:rPr>
                <w:color w:val="000000"/>
              </w:rPr>
              <w:t xml:space="preserve"> las acciones de gestión que el aspirante lleva a cabo para propiciar condiciones educativas encaminadas a mejorar las prácticas docentes y directivas, proveer en las escuelas las condiciones necesarias para apoyar el aprendizaje y bienestar de los alumnos, </w:t>
            </w:r>
            <w:r>
              <w:t>posibilitar las prácticas de enseñanza orientadas a favorecer la equidad, inclusión, interculturalidad y convivencia armónica</w:t>
            </w:r>
            <w:r>
              <w:rPr>
                <w:color w:val="000000"/>
              </w:rPr>
              <w:t xml:space="preserve"> </w:t>
            </w:r>
            <w:r>
              <w:t>y que</w:t>
            </w:r>
            <w:r>
              <w:rPr>
                <w:color w:val="000000"/>
              </w:rPr>
              <w:t xml:space="preserve"> respond</w:t>
            </w:r>
            <w:r>
              <w:t>an</w:t>
            </w:r>
            <w:r>
              <w:rPr>
                <w:color w:val="000000"/>
              </w:rPr>
              <w:t xml:space="preserve"> a las transform</w:t>
            </w:r>
            <w:r>
              <w:t>aciones y desafíos de la educación actual</w:t>
            </w:r>
          </w:p>
          <w:p w:rsidR="008479C2" w:rsidRDefault="00034B93" w:rsidP="00F0135B">
            <w:pPr>
              <w:spacing w:after="20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8479C2" w:rsidRDefault="00034B93" w:rsidP="00F0135B">
            <w:pPr>
              <w:pBdr>
                <w:top w:val="nil"/>
                <w:left w:val="nil"/>
                <w:bottom w:val="nil"/>
                <w:right w:val="nil"/>
                <w:between w:val="nil"/>
              </w:pBdr>
              <w:spacing w:after="200"/>
              <w:jc w:val="both"/>
              <w:rPr>
                <w:color w:val="000000"/>
              </w:rPr>
            </w:pPr>
            <w:r>
              <w:rPr>
                <w:color w:val="000000"/>
              </w:rP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8479C2" w:rsidRDefault="00034B93" w:rsidP="00F0135B">
            <w:pPr>
              <w:pBdr>
                <w:top w:val="nil"/>
                <w:left w:val="nil"/>
                <w:bottom w:val="nil"/>
                <w:right w:val="nil"/>
                <w:between w:val="nil"/>
              </w:pBdr>
              <w:spacing w:after="200"/>
              <w:jc w:val="both"/>
              <w:rPr>
                <w:color w:val="000000"/>
              </w:rPr>
            </w:pPr>
            <w:r>
              <w:rPr>
                <w:color w:val="000000"/>
              </w:rPr>
              <w:t xml:space="preserve">En la apreciación de los directores o colectivos de la zona escolar y autoridades inmediata superior se consideran indicadores que guardan una estrecha relación, en un marco de equidad e inclusión, con las habilidades que el aspirante tiene para generar ambientes </w:t>
            </w:r>
            <w:r>
              <w:t>propicios</w:t>
            </w:r>
            <w:r>
              <w:rPr>
                <w:color w:val="000000"/>
              </w:rPr>
              <w:t xml:space="preserve">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o de la zona escolar así como de prácticas pedagógicas innovadoras.   </w:t>
            </w:r>
          </w:p>
          <w:p w:rsidR="008479C2" w:rsidRDefault="00034B93" w:rsidP="00C95F1E">
            <w:pPr>
              <w:pBdr>
                <w:top w:val="nil"/>
                <w:left w:val="nil"/>
                <w:bottom w:val="nil"/>
                <w:right w:val="nil"/>
                <w:between w:val="nil"/>
              </w:pBdr>
              <w:jc w:val="both"/>
              <w:rPr>
                <w:color w:val="000000"/>
              </w:rPr>
            </w:pPr>
            <w:r>
              <w:rPr>
                <w:color w:val="000000"/>
              </w:rP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w:t>
            </w:r>
            <w:r w:rsidR="00C95F1E">
              <w:rPr>
                <w:color w:val="000000"/>
              </w:rPr>
              <w:t>A</w:t>
            </w:r>
            <w:r>
              <w:rPr>
                <w:color w:val="000000"/>
              </w:rPr>
              <w:t xml:space="preserve">demás, de las habilidades para prevenir, solucionar o minimizar los riesgos o problemas propios de la actividad educativa. </w:t>
            </w:r>
          </w:p>
        </w:tc>
      </w:tr>
      <w:tr w:rsidR="008479C2" w:rsidTr="00A62C29">
        <w:trPr>
          <w:trHeight w:val="587"/>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Población objetivo</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Todo aspirante que decide voluntariamente participar en la convocatoria pública del proceso de selección para la promoción vertical y cumple con los requisitos establecidos en la misma. Los aspirantes a ser seleccionados para promoverse a la función de supervisión en educación básica (supervisores, inspectores, jefes de zona o de sector), pueden corresponder al personal de las siguientes figuras y categorías, con cinco años de experiencia en la función directiva o de supervisión y con nombramiento definitivo.</w:t>
            </w:r>
          </w:p>
          <w:p w:rsidR="00880519" w:rsidRDefault="00880519" w:rsidP="00880519">
            <w:pPr>
              <w:pBdr>
                <w:top w:val="nil"/>
                <w:left w:val="nil"/>
                <w:bottom w:val="nil"/>
                <w:right w:val="nil"/>
                <w:between w:val="nil"/>
              </w:pBdr>
              <w:jc w:val="both"/>
              <w:rPr>
                <w:color w:val="000000"/>
              </w:rPr>
            </w:pPr>
          </w:p>
          <w:p w:rsidR="008479C2" w:rsidRDefault="00034B93" w:rsidP="00E95F12">
            <w:pPr>
              <w:pBdr>
                <w:top w:val="nil"/>
                <w:left w:val="nil"/>
                <w:bottom w:val="nil"/>
                <w:right w:val="nil"/>
                <w:between w:val="nil"/>
              </w:pBdr>
              <w:jc w:val="both"/>
              <w:rPr>
                <w:color w:val="000000"/>
              </w:rPr>
            </w:pPr>
            <w:r>
              <w:rPr>
                <w:color w:val="000000"/>
              </w:rPr>
              <w:t xml:space="preserve">El anexo </w:t>
            </w:r>
            <w:r w:rsidR="000E28AA">
              <w:rPr>
                <w:color w:val="000000"/>
              </w:rPr>
              <w:t>1</w:t>
            </w:r>
            <w:r>
              <w:rPr>
                <w:color w:val="000000"/>
              </w:rPr>
              <w:t xml:space="preserve"> muestra </w:t>
            </w:r>
            <w:r w:rsidR="00E95F12">
              <w:rPr>
                <w:color w:val="000000"/>
              </w:rPr>
              <w:t xml:space="preserve">la población objetivo y </w:t>
            </w:r>
            <w:r>
              <w:rPr>
                <w:color w:val="000000"/>
              </w:rPr>
              <w:t xml:space="preserve">el trayecto de ascenso que puede seguir </w:t>
            </w:r>
            <w:r w:rsidR="00E95F12">
              <w:rPr>
                <w:color w:val="000000"/>
              </w:rPr>
              <w:t xml:space="preserve">el aspirante, de acuerdo </w:t>
            </w:r>
            <w:r>
              <w:rPr>
                <w:color w:val="000000"/>
              </w:rPr>
              <w:t xml:space="preserve">con la plaza de inicio, nivel, modalidad y servicio educativo. </w:t>
            </w:r>
          </w:p>
        </w:tc>
      </w:tr>
      <w:tr w:rsidR="008479C2" w:rsidTr="00A62C29">
        <w:trPr>
          <w:trHeight w:val="104"/>
        </w:trPr>
        <w:tc>
          <w:tcPr>
            <w:tcW w:w="2064" w:type="dxa"/>
            <w:shd w:val="clear" w:color="auto" w:fill="DBE5F1"/>
            <w:vAlign w:val="center"/>
          </w:tcPr>
          <w:p w:rsidR="008479C2" w:rsidRDefault="00034B93" w:rsidP="00880519">
            <w:pPr>
              <w:pBdr>
                <w:top w:val="nil"/>
                <w:left w:val="nil"/>
                <w:bottom w:val="nil"/>
                <w:right w:val="nil"/>
                <w:between w:val="nil"/>
              </w:pBdr>
              <w:spacing w:line="259" w:lineRule="auto"/>
              <w:rPr>
                <w:color w:val="002060"/>
              </w:rPr>
            </w:pPr>
            <w:r>
              <w:rPr>
                <w:color w:val="002060"/>
              </w:rPr>
              <w:lastRenderedPageBreak/>
              <w:t>Alcances de los resultados</w:t>
            </w:r>
          </w:p>
        </w:tc>
        <w:tc>
          <w:tcPr>
            <w:tcW w:w="8930" w:type="dxa"/>
            <w:vAlign w:val="center"/>
          </w:tcPr>
          <w:p w:rsidR="008479C2" w:rsidRDefault="00034B93" w:rsidP="00880519">
            <w:pPr>
              <w:pBdr>
                <w:top w:val="nil"/>
                <w:left w:val="nil"/>
                <w:bottom w:val="nil"/>
                <w:right w:val="nil"/>
                <w:between w:val="nil"/>
              </w:pBdr>
              <w:jc w:val="both"/>
              <w:rPr>
                <w:color w:val="000000"/>
              </w:rPr>
            </w:pPr>
            <w:r>
              <w:rPr>
                <w:color w:val="000000"/>
              </w:rPr>
              <w:t>Para los sustentantes: Contar con un diagnóstico personal</w:t>
            </w:r>
            <w:r>
              <w:rPr>
                <w:color w:val="000000"/>
                <w:vertAlign w:val="superscript"/>
              </w:rPr>
              <w:footnoteReference w:id="3"/>
            </w:r>
            <w:r>
              <w:rPr>
                <w:color w:val="000000"/>
              </w:rPr>
              <w:t xml:space="preserve"> respecto de la valoración que la comunidad escolar otorga a su trabajo cotidiano, que le permitirá reflexionar sobre su práctica directiva o de supervisión y tomar decisiones respecto de su trayectoria para mejorar su desempeño profesional.</w:t>
            </w:r>
          </w:p>
          <w:p w:rsidR="00880519" w:rsidRDefault="00880519" w:rsidP="00880519">
            <w:pPr>
              <w:pBdr>
                <w:top w:val="nil"/>
                <w:left w:val="nil"/>
                <w:bottom w:val="nil"/>
                <w:right w:val="nil"/>
                <w:between w:val="nil"/>
              </w:pBdr>
              <w:jc w:val="both"/>
              <w:rPr>
                <w:color w:val="000000"/>
              </w:rPr>
            </w:pPr>
          </w:p>
          <w:p w:rsidR="008479C2" w:rsidRDefault="00034B93" w:rsidP="00880519">
            <w:pPr>
              <w:pBdr>
                <w:top w:val="nil"/>
                <w:left w:val="nil"/>
                <w:bottom w:val="nil"/>
                <w:right w:val="nil"/>
                <w:between w:val="nil"/>
              </w:pBdr>
              <w:jc w:val="both"/>
              <w:rPr>
                <w:color w:val="000000"/>
              </w:rPr>
            </w:pPr>
            <w:r>
              <w:rPr>
                <w:color w:val="000000"/>
              </w:rPr>
              <w:t>Para las autoridades federales y locales: Contar con diagnósticos nacionales y locales sobre la percepción que las comunidades escolares tienen respecto a quienes aspiran a la función de supervisión, además de fomentar el reconocimiento al desempeño de las maestras y los maestros.</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Uso de los resultados</w:t>
            </w:r>
          </w:p>
        </w:tc>
        <w:tc>
          <w:tcPr>
            <w:tcW w:w="8930" w:type="dxa"/>
            <w:vAlign w:val="center"/>
          </w:tcPr>
          <w:p w:rsidR="008479C2" w:rsidRDefault="00034B93" w:rsidP="00E95F12">
            <w:pPr>
              <w:pBdr>
                <w:top w:val="nil"/>
                <w:left w:val="nil"/>
                <w:bottom w:val="nil"/>
                <w:right w:val="nil"/>
                <w:between w:val="nil"/>
              </w:pBdr>
              <w:jc w:val="both"/>
              <w:rPr>
                <w:color w:val="000000"/>
              </w:rPr>
            </w:pPr>
            <w:r>
              <w:rPr>
                <w:color w:val="000000"/>
              </w:rPr>
              <w:t xml:space="preserve">Los resultados de la </w:t>
            </w:r>
            <w:r w:rsidR="00E95F12">
              <w:rPr>
                <w:color w:val="000000"/>
              </w:rPr>
              <w:t>e</w:t>
            </w:r>
            <w:r>
              <w:rPr>
                <w:color w:val="000000"/>
              </w:rPr>
              <w:t>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supervisión.</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Impacto</w:t>
            </w:r>
          </w:p>
        </w:tc>
        <w:tc>
          <w:tcPr>
            <w:tcW w:w="8930" w:type="dxa"/>
            <w:vAlign w:val="center"/>
          </w:tcPr>
          <w:p w:rsidR="008479C2" w:rsidRDefault="00034B93" w:rsidP="00F0135B">
            <w:pPr>
              <w:pBdr>
                <w:top w:val="nil"/>
                <w:left w:val="nil"/>
                <w:bottom w:val="nil"/>
                <w:right w:val="nil"/>
                <w:between w:val="nil"/>
              </w:pBdr>
              <w:jc w:val="both"/>
              <w:rPr>
                <w:color w:val="000000"/>
                <w:highlight w:val="green"/>
              </w:rPr>
            </w:pPr>
            <w:r>
              <w:rPr>
                <w:color w:val="000000"/>
                <w:highlight w:val="white"/>
              </w:rPr>
              <w:t>Alto. A partir de sus resultados se tomarán decisiones basadas en evidencia para la promoción vertical dentro de la función pública educativa, a funciones de supervisión en educación básica.</w:t>
            </w:r>
          </w:p>
        </w:tc>
      </w:tr>
      <w:tr w:rsidR="008479C2" w:rsidTr="00A62C29">
        <w:trPr>
          <w:trHeight w:val="58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Sensibilidad a la práctica</w:t>
            </w:r>
          </w:p>
        </w:tc>
        <w:tc>
          <w:tcPr>
            <w:tcW w:w="8930" w:type="dxa"/>
            <w:vAlign w:val="center"/>
          </w:tcPr>
          <w:p w:rsidR="008479C2" w:rsidRDefault="00034B93" w:rsidP="00F0135B">
            <w:pPr>
              <w:pBdr>
                <w:top w:val="nil"/>
                <w:left w:val="nil"/>
                <w:bottom w:val="nil"/>
                <w:right w:val="nil"/>
                <w:between w:val="nil"/>
              </w:pBdr>
              <w:jc w:val="both"/>
              <w:rPr>
                <w:color w:val="000000"/>
              </w:rPr>
            </w:pPr>
            <w:r>
              <w:rPr>
                <w:color w:val="000000"/>
              </w:rPr>
              <w:t xml:space="preserve">Alto. Los contenidos de las escalas de percepción están elaborados con apego total al contenido de los perfiles, criterios e indicadores publicados como referente para el ejercicio de la función de supervisión en la Educación Básica mexicana.  </w:t>
            </w:r>
          </w:p>
        </w:tc>
      </w:tr>
      <w:tr w:rsidR="008479C2" w:rsidTr="00A62C29">
        <w:trPr>
          <w:trHeight w:val="197"/>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Cobertura</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Nacional.</w:t>
            </w:r>
          </w:p>
        </w:tc>
      </w:tr>
      <w:tr w:rsidR="008479C2" w:rsidTr="002B79C1">
        <w:trPr>
          <w:trHeight w:val="359"/>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Tipo de instrumento</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Escala de valoración.</w:t>
            </w:r>
          </w:p>
        </w:tc>
      </w:tr>
      <w:tr w:rsidR="008479C2" w:rsidTr="00A62C29">
        <w:trPr>
          <w:trHeight w:val="30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 xml:space="preserve">Tipo de respuesta </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Reactivos politómicos con cuatro niveles de valoración.</w:t>
            </w:r>
          </w:p>
        </w:tc>
      </w:tr>
      <w:tr w:rsidR="008479C2" w:rsidTr="002B79C1">
        <w:trPr>
          <w:trHeight w:val="2631"/>
        </w:trPr>
        <w:tc>
          <w:tcPr>
            <w:tcW w:w="2064" w:type="dxa"/>
            <w:shd w:val="clear" w:color="auto" w:fill="DBE5F1"/>
            <w:vAlign w:val="center"/>
          </w:tcPr>
          <w:p w:rsidR="008479C2" w:rsidRDefault="00034B93">
            <w:pPr>
              <w:pBdr>
                <w:top w:val="nil"/>
                <w:left w:val="nil"/>
                <w:bottom w:val="nil"/>
                <w:right w:val="nil"/>
                <w:between w:val="nil"/>
              </w:pBdr>
              <w:spacing w:after="160" w:line="259" w:lineRule="auto"/>
              <w:rPr>
                <w:color w:val="002060"/>
              </w:rPr>
            </w:pPr>
            <w:r>
              <w:rPr>
                <w:color w:val="002060"/>
              </w:rPr>
              <w:t>Características del instrumento</w:t>
            </w:r>
          </w:p>
        </w:tc>
        <w:tc>
          <w:tcPr>
            <w:tcW w:w="8930" w:type="dxa"/>
            <w:vAlign w:val="center"/>
          </w:tcPr>
          <w:p w:rsidR="008479C2" w:rsidRDefault="002B79C1" w:rsidP="00F0135B">
            <w:pPr>
              <w:pBdr>
                <w:top w:val="nil"/>
                <w:left w:val="nil"/>
                <w:bottom w:val="nil"/>
                <w:right w:val="nil"/>
                <w:between w:val="nil"/>
              </w:pBdr>
              <w:spacing w:after="160"/>
              <w:jc w:val="both"/>
              <w:rPr>
                <w:color w:val="000000"/>
              </w:rPr>
            </w:pPr>
            <w:r>
              <w:rPr>
                <w:color w:val="000000"/>
              </w:rPr>
              <w:t xml:space="preserve">Consta de tres </w:t>
            </w:r>
            <w:r w:rsidR="00034B93">
              <w:rPr>
                <w:color w:val="000000"/>
              </w:rPr>
              <w:t>batería</w:t>
            </w:r>
            <w:r>
              <w:rPr>
                <w:color w:val="000000"/>
              </w:rPr>
              <w:t>s</w:t>
            </w:r>
            <w:r w:rsidR="00034B93">
              <w:rPr>
                <w:color w:val="000000"/>
              </w:rPr>
              <w:t xml:space="preserve"> conformada</w:t>
            </w:r>
            <w:r>
              <w:rPr>
                <w:color w:val="000000"/>
              </w:rPr>
              <w:t xml:space="preserve">s por alrededor de 60 </w:t>
            </w:r>
            <w:r w:rsidR="00034B93">
              <w:rPr>
                <w:color w:val="000000"/>
              </w:rPr>
              <w:t>reactivos politómicos</w:t>
            </w:r>
            <w:r w:rsidR="003F729B">
              <w:rPr>
                <w:color w:val="000000"/>
              </w:rPr>
              <w:t>, para</w:t>
            </w:r>
            <w:r>
              <w:rPr>
                <w:color w:val="000000"/>
              </w:rPr>
              <w:t xml:space="preserve">: 1) </w:t>
            </w:r>
            <w:r w:rsidR="003F729B">
              <w:rPr>
                <w:color w:val="000000"/>
              </w:rPr>
              <w:t>E</w:t>
            </w:r>
            <w:r w:rsidR="00034B93">
              <w:rPr>
                <w:color w:val="000000"/>
              </w:rPr>
              <w:t>l personal con funciones de dirección que aspira a la función de supervisión</w:t>
            </w:r>
            <w:r>
              <w:rPr>
                <w:color w:val="000000"/>
              </w:rPr>
              <w:t xml:space="preserve">, 2) </w:t>
            </w:r>
            <w:r>
              <w:rPr>
                <w:color w:val="000000"/>
              </w:rPr>
              <w:t>el personal con funciones de asesoría y acompañamiento técnico-pedagógico que aspira a la función de supervisión inmediata superior</w:t>
            </w:r>
            <w:r>
              <w:rPr>
                <w:color w:val="000000"/>
              </w:rPr>
              <w:t xml:space="preserve"> y, 3)</w:t>
            </w:r>
            <w:r w:rsidR="00034B93">
              <w:rPr>
                <w:color w:val="000000"/>
              </w:rPr>
              <w:t xml:space="preserve"> </w:t>
            </w:r>
            <w:r>
              <w:rPr>
                <w:color w:val="000000"/>
              </w:rPr>
              <w:t>el personal con funciones de supervisión que aspira a la función de supervisión inmediata superior.</w:t>
            </w:r>
            <w:r>
              <w:rPr>
                <w:color w:val="000000"/>
              </w:rPr>
              <w:t xml:space="preserve"> </w:t>
            </w:r>
            <w:r w:rsidR="00034B93">
              <w:rPr>
                <w:color w:val="000000"/>
              </w:rPr>
              <w:t xml:space="preserve">Cada </w:t>
            </w:r>
            <w:r>
              <w:rPr>
                <w:color w:val="000000"/>
              </w:rPr>
              <w:t>batería contendrá las encuestas correspondientes a los informantes clave señalados en el apartado respectivo. Éstas se diseñarán de a</w:t>
            </w:r>
            <w:r w:rsidR="00034B93">
              <w:rPr>
                <w:color w:val="000000"/>
              </w:rPr>
              <w:t xml:space="preserve">cuerdo con las características de los informantes y de los aspectos que se espera que valoren. </w:t>
            </w:r>
          </w:p>
          <w:p w:rsidR="008479C2" w:rsidRDefault="009D3744" w:rsidP="009D3744">
            <w:pPr>
              <w:pBdr>
                <w:top w:val="nil"/>
                <w:left w:val="nil"/>
                <w:bottom w:val="nil"/>
                <w:right w:val="nil"/>
                <w:between w:val="nil"/>
              </w:pBdr>
              <w:jc w:val="both"/>
              <w:rPr>
                <w:color w:val="000000"/>
              </w:rPr>
            </w:pPr>
            <w:r>
              <w:rPr>
                <w:color w:val="000000"/>
              </w:rPr>
              <w:t xml:space="preserve">Las tres baterías </w:t>
            </w:r>
            <w:r w:rsidR="00034B93">
              <w:rPr>
                <w:color w:val="000000"/>
              </w:rPr>
              <w:t xml:space="preserve">se conforman </w:t>
            </w:r>
            <w:r>
              <w:rPr>
                <w:color w:val="000000"/>
              </w:rPr>
              <w:t>con las cuatro</w:t>
            </w:r>
            <w:r w:rsidR="00034B93">
              <w:rPr>
                <w:color w:val="000000"/>
              </w:rPr>
              <w:t xml:space="preserve"> áreas descri</w:t>
            </w:r>
            <w:r>
              <w:rPr>
                <w:color w:val="000000"/>
              </w:rPr>
              <w:t>tas</w:t>
            </w:r>
            <w:r w:rsidR="00034B93">
              <w:rPr>
                <w:color w:val="000000"/>
              </w:rPr>
              <w:t xml:space="preserve"> en el apartado de Objeto de evaluación: Cultura escolar</w:t>
            </w:r>
            <w:r w:rsidR="002B79C1">
              <w:rPr>
                <w:color w:val="000000"/>
              </w:rPr>
              <w:t>,</w:t>
            </w:r>
            <w:r w:rsidR="00034B93">
              <w:rPr>
                <w:color w:val="000000"/>
              </w:rPr>
              <w:t xml:space="preserve"> Comunicación y relaciones interpersonales</w:t>
            </w:r>
            <w:r w:rsidR="002B79C1">
              <w:rPr>
                <w:color w:val="000000"/>
              </w:rPr>
              <w:t>,</w:t>
            </w:r>
            <w:r w:rsidR="00034B93">
              <w:rPr>
                <w:color w:val="000000"/>
              </w:rPr>
              <w:t xml:space="preserve"> Asesoría y acompañamiento y Gestión escolar.</w:t>
            </w:r>
          </w:p>
        </w:tc>
      </w:tr>
      <w:tr w:rsidR="008479C2" w:rsidTr="002B79C1">
        <w:trPr>
          <w:trHeight w:val="489"/>
        </w:trPr>
        <w:tc>
          <w:tcPr>
            <w:tcW w:w="2064" w:type="dxa"/>
            <w:shd w:val="clear" w:color="auto" w:fill="DBE5F1"/>
            <w:vAlign w:val="center"/>
          </w:tcPr>
          <w:p w:rsidR="008479C2" w:rsidRDefault="00034B93" w:rsidP="00A62C29">
            <w:pPr>
              <w:pBdr>
                <w:top w:val="nil"/>
                <w:left w:val="nil"/>
                <w:bottom w:val="nil"/>
                <w:right w:val="nil"/>
                <w:between w:val="nil"/>
              </w:pBdr>
              <w:rPr>
                <w:color w:val="002060"/>
              </w:rPr>
            </w:pPr>
            <w:r>
              <w:rPr>
                <w:color w:val="002060"/>
              </w:rPr>
              <w:t>Requisitos para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Por definir</w:t>
            </w:r>
            <w:r w:rsidR="00A62C29">
              <w:rPr>
                <w:color w:val="000000"/>
              </w:rPr>
              <w:t>.</w:t>
            </w:r>
            <w:r>
              <w:rPr>
                <w:color w:val="000000"/>
              </w:rPr>
              <w:t xml:space="preserve"> </w:t>
            </w:r>
          </w:p>
        </w:tc>
      </w:tr>
      <w:tr w:rsidR="008479C2" w:rsidTr="00A62C29">
        <w:trPr>
          <w:trHeight w:val="373"/>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bookmarkStart w:id="0" w:name="_3znysh7" w:colFirst="0" w:colLast="0"/>
            <w:bookmarkEnd w:id="0"/>
            <w:r>
              <w:rPr>
                <w:color w:val="002060"/>
              </w:rPr>
              <w:t>Tipo de aplicación</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A través de cualquier dispositivo electrónico.</w:t>
            </w:r>
          </w:p>
        </w:tc>
      </w:tr>
      <w:tr w:rsidR="008479C2" w:rsidTr="002B79C1">
        <w:trPr>
          <w:trHeight w:val="387"/>
        </w:trPr>
        <w:tc>
          <w:tcPr>
            <w:tcW w:w="2064" w:type="dxa"/>
            <w:shd w:val="clear" w:color="auto" w:fill="DBE5F1"/>
            <w:vAlign w:val="center"/>
          </w:tcPr>
          <w:p w:rsidR="008479C2" w:rsidRDefault="00034B93" w:rsidP="002B79C1">
            <w:pPr>
              <w:pBdr>
                <w:top w:val="nil"/>
                <w:left w:val="nil"/>
                <w:bottom w:val="nil"/>
                <w:right w:val="nil"/>
                <w:between w:val="nil"/>
              </w:pBdr>
              <w:rPr>
                <w:color w:val="002060"/>
              </w:rPr>
            </w:pPr>
            <w:r>
              <w:rPr>
                <w:color w:val="002060"/>
              </w:rPr>
              <w:t>Duración de la aplicación</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 xml:space="preserve">Dos horas. </w:t>
            </w:r>
          </w:p>
        </w:tc>
      </w:tr>
      <w:tr w:rsidR="008479C2" w:rsidTr="00A62C29">
        <w:trPr>
          <w:trHeight w:val="3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lastRenderedPageBreak/>
              <w:t>Número de sesiones</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r>
              <w:rPr>
                <w:color w:val="000000"/>
              </w:rPr>
              <w:t>Una sesión.</w:t>
            </w:r>
          </w:p>
        </w:tc>
      </w:tr>
      <w:tr w:rsidR="008479C2" w:rsidTr="00A62C29">
        <w:trPr>
          <w:trHeight w:val="58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Longitud del instrumento</w:t>
            </w:r>
          </w:p>
        </w:tc>
        <w:tc>
          <w:tcPr>
            <w:tcW w:w="8930" w:type="dxa"/>
            <w:shd w:val="clear" w:color="auto" w:fill="FFFFFF"/>
            <w:vAlign w:val="center"/>
          </w:tcPr>
          <w:p w:rsidR="008479C2" w:rsidRDefault="00034B93" w:rsidP="00F0135B">
            <w:pPr>
              <w:pBdr>
                <w:top w:val="nil"/>
                <w:left w:val="nil"/>
                <w:bottom w:val="nil"/>
                <w:right w:val="nil"/>
                <w:between w:val="nil"/>
              </w:pBdr>
              <w:rPr>
                <w:color w:val="000000"/>
              </w:rPr>
            </w:pPr>
            <w:bookmarkStart w:id="1" w:name="_2et92p0" w:colFirst="0" w:colLast="0"/>
            <w:bookmarkEnd w:id="1"/>
            <w:r>
              <w:rPr>
                <w:color w:val="000000"/>
              </w:rPr>
              <w:t>Por definir</w:t>
            </w:r>
            <w:r w:rsidR="00A62C29">
              <w:rPr>
                <w:color w:val="000000"/>
              </w:rPr>
              <w:t>.</w:t>
            </w:r>
            <w:r>
              <w:rPr>
                <w:color w:val="000000"/>
              </w:rPr>
              <w:t xml:space="preserve"> </w:t>
            </w:r>
          </w:p>
        </w:tc>
      </w:tr>
      <w:tr w:rsidR="008479C2" w:rsidTr="00A62C29">
        <w:trPr>
          <w:trHeight w:val="870"/>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Modelo de medición</w:t>
            </w:r>
          </w:p>
        </w:tc>
        <w:tc>
          <w:tcPr>
            <w:tcW w:w="8930" w:type="dxa"/>
            <w:shd w:val="clear" w:color="auto" w:fill="FFFFFF"/>
            <w:vAlign w:val="center"/>
          </w:tcPr>
          <w:p w:rsidR="008479C2" w:rsidRDefault="00034B93" w:rsidP="009D3744">
            <w:pPr>
              <w:pBdr>
                <w:top w:val="nil"/>
                <w:left w:val="nil"/>
                <w:bottom w:val="nil"/>
                <w:right w:val="nil"/>
                <w:between w:val="nil"/>
              </w:pBdr>
              <w:jc w:val="both"/>
              <w:rPr>
                <w:color w:val="000000"/>
              </w:rPr>
            </w:pPr>
            <w:r>
              <w:rPr>
                <w:color w:val="000000"/>
              </w:rPr>
              <w:t xml:space="preserve">Teoría de Respuesta al ítem (TRI) que permita traducir las puntuaciones registradas por cada participante en información integrada y general sobre el ejercicio de valoración vertido por los informantes clave respecto del evaluado. </w:t>
            </w:r>
          </w:p>
        </w:tc>
      </w:tr>
      <w:tr w:rsidR="008479C2" w:rsidTr="00A62C29">
        <w:trPr>
          <w:trHeight w:val="67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Propiedades estadísticas deseadas</w:t>
            </w:r>
          </w:p>
        </w:tc>
        <w:tc>
          <w:tcPr>
            <w:tcW w:w="8930" w:type="dxa"/>
            <w:shd w:val="clear" w:color="auto" w:fill="FFFFFF"/>
            <w:vAlign w:val="center"/>
          </w:tcPr>
          <w:p w:rsidR="008479C2" w:rsidRDefault="00034B93" w:rsidP="00F0135B">
            <w:pPr>
              <w:pBdr>
                <w:top w:val="nil"/>
                <w:left w:val="nil"/>
                <w:bottom w:val="nil"/>
                <w:right w:val="nil"/>
                <w:between w:val="nil"/>
              </w:pBdr>
              <w:rPr>
                <w:color w:val="002060"/>
              </w:rPr>
            </w:pPr>
            <w:r>
              <w:rPr>
                <w:color w:val="000000"/>
              </w:rPr>
              <w:t xml:space="preserve">Por definir. </w:t>
            </w:r>
          </w:p>
        </w:tc>
      </w:tr>
      <w:tr w:rsidR="008479C2" w:rsidTr="00A62C29">
        <w:trPr>
          <w:trHeight w:val="315"/>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Evidencias adicionales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Ninguna.</w:t>
            </w:r>
          </w:p>
        </w:tc>
      </w:tr>
      <w:tr w:rsidR="008479C2" w:rsidTr="00A62C29">
        <w:trPr>
          <w:trHeight w:val="246"/>
        </w:trPr>
        <w:tc>
          <w:tcPr>
            <w:tcW w:w="2064" w:type="dxa"/>
            <w:shd w:val="clear" w:color="auto" w:fill="DBE5F1"/>
            <w:vAlign w:val="center"/>
          </w:tcPr>
          <w:p w:rsidR="008479C2" w:rsidRDefault="00034B93" w:rsidP="00A62C29">
            <w:pPr>
              <w:pBdr>
                <w:top w:val="nil"/>
                <w:left w:val="nil"/>
                <w:bottom w:val="nil"/>
                <w:right w:val="nil"/>
                <w:between w:val="nil"/>
              </w:pBdr>
              <w:spacing w:line="259" w:lineRule="auto"/>
              <w:rPr>
                <w:color w:val="002060"/>
              </w:rPr>
            </w:pPr>
            <w:r>
              <w:rPr>
                <w:color w:val="002060"/>
              </w:rPr>
              <w:t>Devolución de resultados</w:t>
            </w:r>
          </w:p>
        </w:tc>
        <w:tc>
          <w:tcPr>
            <w:tcW w:w="8930" w:type="dxa"/>
            <w:vAlign w:val="center"/>
          </w:tcPr>
          <w:p w:rsidR="008479C2" w:rsidRDefault="00034B93" w:rsidP="00F0135B">
            <w:pPr>
              <w:pBdr>
                <w:top w:val="nil"/>
                <w:left w:val="nil"/>
                <w:bottom w:val="nil"/>
                <w:right w:val="nil"/>
                <w:between w:val="nil"/>
              </w:pBdr>
              <w:rPr>
                <w:color w:val="000000"/>
              </w:rPr>
            </w:pPr>
            <w:r>
              <w:rPr>
                <w:color w:val="000000"/>
              </w:rPr>
              <w:t>Reporte individualizado con la integración de los resultados obtenidos a lo largo de las cuatro escalas respondidas por los informantes.</w:t>
            </w:r>
          </w:p>
        </w:tc>
      </w:tr>
    </w:tbl>
    <w:p w:rsidR="008479C2" w:rsidRDefault="00034B93">
      <w:pPr>
        <w:pBdr>
          <w:top w:val="nil"/>
          <w:left w:val="nil"/>
          <w:bottom w:val="nil"/>
          <w:right w:val="nil"/>
          <w:between w:val="nil"/>
        </w:pBdr>
        <w:spacing w:line="240" w:lineRule="auto"/>
        <w:jc w:val="center"/>
        <w:rPr>
          <w:b/>
          <w:color w:val="000000"/>
        </w:rPr>
      </w:pPr>
      <w:r>
        <w:br w:type="page"/>
      </w:r>
    </w:p>
    <w:p w:rsidR="008479C2" w:rsidRDefault="00A62C29">
      <w:pPr>
        <w:pBdr>
          <w:top w:val="nil"/>
          <w:left w:val="nil"/>
          <w:bottom w:val="nil"/>
          <w:right w:val="nil"/>
          <w:between w:val="nil"/>
        </w:pBdr>
        <w:spacing w:after="0" w:line="240" w:lineRule="auto"/>
        <w:jc w:val="center"/>
        <w:rPr>
          <w:b/>
          <w:color w:val="000000"/>
        </w:rPr>
      </w:pPr>
      <w:r>
        <w:rPr>
          <w:b/>
          <w:color w:val="000000"/>
        </w:rPr>
        <w:lastRenderedPageBreak/>
        <w:t>Anexo 1</w:t>
      </w:r>
      <w:r w:rsidR="00034B93">
        <w:rPr>
          <w:b/>
          <w:color w:val="000000"/>
        </w:rPr>
        <w:t>.</w:t>
      </w:r>
      <w:r>
        <w:rPr>
          <w:b/>
          <w:color w:val="000000"/>
        </w:rPr>
        <w:t xml:space="preserve"> </w:t>
      </w:r>
    </w:p>
    <w:p w:rsidR="008479C2" w:rsidRDefault="002B79C1" w:rsidP="00A62C29">
      <w:pPr>
        <w:pBdr>
          <w:top w:val="nil"/>
          <w:left w:val="nil"/>
          <w:bottom w:val="nil"/>
          <w:right w:val="nil"/>
          <w:between w:val="nil"/>
        </w:pBdr>
        <w:tabs>
          <w:tab w:val="center" w:pos="4419"/>
          <w:tab w:val="right" w:pos="8838"/>
        </w:tabs>
        <w:spacing w:after="0" w:line="240" w:lineRule="auto"/>
        <w:jc w:val="center"/>
        <w:rPr>
          <w:color w:val="000000"/>
          <w:sz w:val="20"/>
          <w:szCs w:val="20"/>
        </w:rPr>
      </w:pPr>
      <w:r>
        <w:rPr>
          <w:b/>
          <w:color w:val="000000"/>
        </w:rPr>
        <w:t>P</w:t>
      </w:r>
      <w:r w:rsidR="00034B93">
        <w:rPr>
          <w:b/>
          <w:color w:val="000000"/>
        </w:rPr>
        <w:t>oblación objetivo</w:t>
      </w:r>
      <w:r w:rsidRPr="002B79C1">
        <w:rPr>
          <w:b/>
          <w:color w:val="000000"/>
        </w:rPr>
        <w:t xml:space="preserve"> </w:t>
      </w:r>
      <w:r>
        <w:rPr>
          <w:b/>
          <w:color w:val="000000"/>
        </w:rPr>
        <w:t>y t</w:t>
      </w:r>
      <w:r>
        <w:rPr>
          <w:b/>
          <w:color w:val="000000"/>
        </w:rPr>
        <w:t xml:space="preserve">rayecto de promoción </w:t>
      </w:r>
      <w:r>
        <w:rPr>
          <w:b/>
          <w:color w:val="000000"/>
        </w:rPr>
        <w:t>vertical</w:t>
      </w:r>
      <w:r w:rsidR="00D82B92">
        <w:rPr>
          <w:b/>
          <w:color w:val="000000"/>
        </w:rPr>
        <w:t xml:space="preserve"> a f</w:t>
      </w:r>
      <w:bookmarkStart w:id="2" w:name="_GoBack"/>
      <w:bookmarkEnd w:id="2"/>
      <w:r>
        <w:rPr>
          <w:b/>
          <w:color w:val="000000"/>
        </w:rPr>
        <w:t xml:space="preserve">unciones de supervisión </w:t>
      </w:r>
    </w:p>
    <w:tbl>
      <w:tblPr>
        <w:tblStyle w:val="a5"/>
        <w:tblW w:w="1091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3685"/>
        <w:gridCol w:w="1134"/>
        <w:gridCol w:w="2268"/>
        <w:gridCol w:w="2552"/>
      </w:tblGrid>
      <w:tr w:rsidR="008479C2" w:rsidTr="002B79C1">
        <w:trPr>
          <w:trHeight w:val="835"/>
        </w:trPr>
        <w:tc>
          <w:tcPr>
            <w:tcW w:w="1277"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Educación</w:t>
            </w:r>
          </w:p>
        </w:tc>
        <w:tc>
          <w:tcPr>
            <w:tcW w:w="3685"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Categoría</w:t>
            </w:r>
          </w:p>
        </w:tc>
        <w:tc>
          <w:tcPr>
            <w:tcW w:w="1134"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enseñanza</w:t>
            </w:r>
          </w:p>
        </w:tc>
        <w:tc>
          <w:tcPr>
            <w:tcW w:w="2268" w:type="dxa"/>
            <w:vAlign w:val="center"/>
          </w:tcPr>
          <w:p w:rsidR="008479C2" w:rsidRPr="00F0135B" w:rsidRDefault="00034B93">
            <w:pPr>
              <w:pBdr>
                <w:top w:val="nil"/>
                <w:left w:val="nil"/>
                <w:bottom w:val="nil"/>
                <w:right w:val="nil"/>
                <w:between w:val="nil"/>
              </w:pBdr>
              <w:spacing w:after="160"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/Inspector de Zona/Supervisor</w:t>
            </w:r>
          </w:p>
        </w:tc>
        <w:tc>
          <w:tcPr>
            <w:tcW w:w="2552" w:type="dxa"/>
            <w:vAlign w:val="center"/>
          </w:tcPr>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Inspector General de Sector (Inspector General de Supervisión)/</w:t>
            </w:r>
          </w:p>
          <w:p w:rsidR="008479C2" w:rsidRPr="00F0135B" w:rsidRDefault="00034B93" w:rsidP="00F0135B">
            <w:pPr>
              <w:pBdr>
                <w:top w:val="nil"/>
                <w:left w:val="nil"/>
                <w:bottom w:val="nil"/>
                <w:right w:val="nil"/>
                <w:between w:val="nil"/>
              </w:pBdr>
              <w:spacing w:line="259" w:lineRule="auto"/>
              <w:jc w:val="center"/>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Jefe de Zona de Supervisión (Jefe de Zona de Supervisión)/Jefe de Sector</w:t>
            </w:r>
          </w:p>
        </w:tc>
      </w:tr>
      <w:tr w:rsidR="008479C2" w:rsidTr="00F0135B">
        <w:trPr>
          <w:trHeight w:hRule="exact" w:val="340"/>
        </w:trPr>
        <w:tc>
          <w:tcPr>
            <w:tcW w:w="1277"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Inicial</w:t>
            </w:r>
            <w:r w:rsidRPr="00F0135B">
              <w:rPr>
                <w:rFonts w:asciiTheme="majorHAnsi" w:hAnsiTheme="majorHAnsi" w:cstheme="majorHAnsi"/>
                <w:b/>
                <w:color w:val="000000"/>
                <w:sz w:val="16"/>
                <w:szCs w:val="16"/>
                <w:vertAlign w:val="superscript"/>
              </w:rPr>
              <w:footnoteReference w:id="4"/>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para centros de desarrollo infantil (C E0125).</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CENDI</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2B79C1">
        <w:trPr>
          <w:trHeight w:val="189"/>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w:t>
            </w:r>
            <w:r w:rsidRPr="00F0135B">
              <w:rPr>
                <w:rFonts w:asciiTheme="majorHAnsi" w:hAnsiTheme="majorHAnsi" w:cstheme="majorHAnsi"/>
                <w:b/>
                <w:color w:val="000000"/>
                <w:sz w:val="16"/>
                <w:szCs w:val="16"/>
                <w:vertAlign w:val="superscript"/>
              </w:rPr>
              <w:footnoteReference w:id="5"/>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Directora de jardín de niños (C E0120 y E0121).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2B79C1">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Jardín de Niños</w:t>
            </w:r>
            <w:r w:rsidR="00F0135B">
              <w:rPr>
                <w:rFonts w:asciiTheme="majorHAnsi" w:hAnsiTheme="majorHAnsi" w:cstheme="majorHAnsi"/>
                <w:color w:val="000000"/>
                <w:sz w:val="16"/>
                <w:szCs w:val="16"/>
              </w:rPr>
              <w:t>.</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272"/>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(C E2602 y E2603)</w:t>
            </w:r>
            <w:r w:rsidRPr="00F0135B">
              <w:rPr>
                <w:rFonts w:asciiTheme="majorHAnsi" w:hAnsiTheme="majorHAnsi" w:cstheme="majorHAnsi"/>
                <w:color w:val="000000"/>
                <w:sz w:val="16"/>
                <w:szCs w:val="16"/>
                <w:vertAlign w:val="superscript"/>
              </w:rPr>
              <w:t>4</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jardín de niños</w:t>
            </w:r>
            <w:r w:rsidRPr="00F0135B">
              <w:rPr>
                <w:rFonts w:asciiTheme="majorHAnsi" w:hAnsiTheme="majorHAnsi" w:cstheme="majorHAnsi"/>
                <w:color w:val="000000"/>
                <w:sz w:val="16"/>
                <w:szCs w:val="16"/>
                <w:vertAlign w:val="superscript"/>
              </w:rPr>
              <w:footnoteReference w:id="6"/>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Inspectora de jardín de niños (C E0100 y E0101).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Supervisión de Jardín de Niños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2B79C1">
        <w:trPr>
          <w:trHeight w:val="485"/>
        </w:trPr>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r w:rsidRPr="00F0135B">
              <w:rPr>
                <w:rFonts w:asciiTheme="majorHAnsi" w:hAnsiTheme="majorHAnsi" w:cstheme="majorHAnsi"/>
                <w:b/>
                <w:color w:val="000000"/>
                <w:sz w:val="16"/>
                <w:szCs w:val="16"/>
              </w:rPr>
              <w:t>Preescolar Indígena</w:t>
            </w:r>
            <w:r w:rsidRPr="00F0135B">
              <w:rPr>
                <w:rFonts w:asciiTheme="majorHAnsi" w:hAnsiTheme="majorHAnsi" w:cstheme="majorHAnsi"/>
                <w:b/>
                <w:color w:val="000000"/>
                <w:sz w:val="16"/>
                <w:szCs w:val="16"/>
                <w:vertAlign w:val="superscript"/>
              </w:rPr>
              <w:footnoteReference w:id="7"/>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bilingüe de educación preescolar indígena (C E1475 y E1488).</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General  de asuntos indígenas</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preescolar indígena (C E2609)</w:t>
            </w:r>
            <w:r w:rsidRPr="00F0135B">
              <w:rPr>
                <w:rFonts w:asciiTheme="majorHAnsi" w:hAnsiTheme="majorHAnsi" w:cstheme="majorHAnsi"/>
                <w:color w:val="000000"/>
                <w:sz w:val="16"/>
                <w:szCs w:val="16"/>
                <w:vertAlign w:val="superscript"/>
              </w:rPr>
              <w:t>6</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bilingüe de educación primaria indígena </w:t>
            </w:r>
            <w:r w:rsidRPr="00F0135B">
              <w:rPr>
                <w:rFonts w:asciiTheme="majorHAnsi" w:hAnsiTheme="majorHAnsi" w:cstheme="majorHAnsi"/>
                <w:color w:val="000000"/>
                <w:sz w:val="16"/>
                <w:szCs w:val="16"/>
                <w:vertAlign w:val="superscript"/>
              </w:rPr>
              <w:footnoteReference w:id="8"/>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restart"/>
            <w:vAlign w:val="center"/>
          </w:tcPr>
          <w:p w:rsidR="008479C2" w:rsidRPr="00F0135B" w:rsidRDefault="00034B93" w:rsidP="00F0135B">
            <w:pPr>
              <w:pBdr>
                <w:top w:val="nil"/>
                <w:left w:val="nil"/>
                <w:bottom w:val="nil"/>
                <w:right w:val="nil"/>
                <w:between w:val="nil"/>
              </w:pBdr>
              <w:spacing w:after="160" w:line="259" w:lineRule="auto"/>
              <w:rPr>
                <w:rFonts w:asciiTheme="majorHAnsi" w:hAnsiTheme="majorHAnsi" w:cstheme="majorHAnsi"/>
                <w:b/>
                <w:color w:val="000000"/>
                <w:sz w:val="16"/>
                <w:szCs w:val="16"/>
              </w:rPr>
            </w:pPr>
            <w:bookmarkStart w:id="3" w:name="_tyjcwt" w:colFirst="0" w:colLast="0"/>
            <w:bookmarkEnd w:id="3"/>
            <w:r w:rsidRPr="00F0135B">
              <w:rPr>
                <w:rFonts w:asciiTheme="majorHAnsi" w:hAnsiTheme="majorHAnsi" w:cstheme="majorHAnsi"/>
                <w:b/>
                <w:color w:val="000000"/>
                <w:sz w:val="16"/>
                <w:szCs w:val="16"/>
              </w:rPr>
              <w:t>Primaria</w:t>
            </w:r>
            <w:r w:rsidRPr="00F0135B">
              <w:rPr>
                <w:rFonts w:asciiTheme="majorHAnsi" w:hAnsiTheme="majorHAnsi" w:cstheme="majorHAnsi"/>
                <w:b/>
                <w:color w:val="000000"/>
                <w:sz w:val="16"/>
                <w:szCs w:val="16"/>
                <w:vertAlign w:val="superscript"/>
              </w:rPr>
              <w:footnoteReference w:id="9"/>
            </w: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Director de primaria (C E0220 y E0221).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de Zona  de enseñanza primaria </w:t>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Asesor técnico pedagógico en educación primaria (C E2600 y E2601)</w:t>
            </w:r>
            <w:r w:rsidRPr="00F0135B">
              <w:rPr>
                <w:rFonts w:asciiTheme="majorHAnsi" w:hAnsiTheme="majorHAnsi" w:cstheme="majorHAnsi"/>
                <w:color w:val="000000"/>
                <w:sz w:val="16"/>
                <w:szCs w:val="16"/>
                <w:vertAlign w:val="superscript"/>
              </w:rPr>
              <w:t>9</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w:t>
            </w:r>
            <w:r w:rsidRPr="00F0135B">
              <w:rPr>
                <w:rFonts w:asciiTheme="majorHAnsi" w:hAnsiTheme="majorHAnsi" w:cstheme="majorHAnsi"/>
                <w:color w:val="000000"/>
                <w:sz w:val="16"/>
                <w:szCs w:val="16"/>
                <w:vertAlign w:val="superscript"/>
              </w:rPr>
              <w:footnoteReference w:id="10"/>
            </w:r>
          </w:p>
        </w:tc>
        <w:tc>
          <w:tcPr>
            <w:tcW w:w="2552"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r>
      <w:tr w:rsidR="008479C2" w:rsidTr="00F0135B">
        <w:trPr>
          <w:trHeight w:val="417"/>
        </w:trPr>
        <w:tc>
          <w:tcPr>
            <w:tcW w:w="1277" w:type="dxa"/>
            <w:vMerge/>
            <w:vAlign w:val="center"/>
          </w:tcPr>
          <w:p w:rsidR="008479C2" w:rsidRPr="00F0135B" w:rsidRDefault="008479C2" w:rsidP="00F0135B">
            <w:pPr>
              <w:widowControl w:val="0"/>
              <w:pBdr>
                <w:top w:val="nil"/>
                <w:left w:val="nil"/>
                <w:bottom w:val="nil"/>
                <w:right w:val="nil"/>
                <w:between w:val="nil"/>
              </w:pBdr>
              <w:spacing w:line="276" w:lineRule="auto"/>
              <w:rPr>
                <w:rFonts w:asciiTheme="majorHAnsi" w:hAnsiTheme="majorHAnsi" w:cstheme="majorHAnsi"/>
                <w:color w:val="000000"/>
                <w:sz w:val="16"/>
                <w:szCs w:val="16"/>
              </w:rPr>
            </w:pPr>
          </w:p>
        </w:tc>
        <w:tc>
          <w:tcPr>
            <w:tcW w:w="3685" w:type="dxa"/>
            <w:vAlign w:val="center"/>
          </w:tcPr>
          <w:p w:rsidR="008479C2" w:rsidRPr="00F0135B" w:rsidRDefault="00034B93" w:rsidP="00F0135B">
            <w:pPr>
              <w:pBdr>
                <w:top w:val="nil"/>
                <w:left w:val="nil"/>
                <w:bottom w:val="nil"/>
                <w:right w:val="nil"/>
                <w:between w:val="nil"/>
              </w:pBdr>
              <w:spacing w:line="259" w:lineRule="auto"/>
              <w:rPr>
                <w:rFonts w:asciiTheme="majorHAnsi" w:hAnsiTheme="majorHAnsi" w:cstheme="majorHAnsi"/>
                <w:color w:val="000000"/>
                <w:sz w:val="16"/>
                <w:szCs w:val="16"/>
              </w:rPr>
            </w:pPr>
            <w:r w:rsidRPr="00F0135B">
              <w:rPr>
                <w:rFonts w:asciiTheme="majorHAnsi" w:hAnsiTheme="majorHAnsi" w:cstheme="majorHAnsi"/>
                <w:color w:val="000000"/>
                <w:sz w:val="16"/>
                <w:szCs w:val="16"/>
              </w:rPr>
              <w:t>Inspector de zona de enseñanza primaria (C E0200 y E0201).</w:t>
            </w:r>
          </w:p>
        </w:tc>
        <w:tc>
          <w:tcPr>
            <w:tcW w:w="1134"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268" w:type="dxa"/>
            <w:vAlign w:val="center"/>
          </w:tcPr>
          <w:p w:rsidR="008479C2" w:rsidRPr="00F0135B" w:rsidRDefault="008479C2" w:rsidP="00F0135B">
            <w:pPr>
              <w:pBdr>
                <w:top w:val="nil"/>
                <w:left w:val="nil"/>
                <w:bottom w:val="nil"/>
                <w:right w:val="nil"/>
                <w:between w:val="nil"/>
              </w:pBdr>
              <w:spacing w:after="160" w:line="259" w:lineRule="auto"/>
              <w:rPr>
                <w:rFonts w:asciiTheme="majorHAnsi" w:hAnsiTheme="majorHAnsi" w:cstheme="majorHAnsi"/>
                <w:color w:val="000000"/>
                <w:sz w:val="16"/>
                <w:szCs w:val="16"/>
              </w:rPr>
            </w:pPr>
          </w:p>
        </w:tc>
        <w:tc>
          <w:tcPr>
            <w:tcW w:w="2552" w:type="dxa"/>
            <w:vAlign w:val="center"/>
          </w:tcPr>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 xml:space="preserve">Inspector General de Supervisión o </w:t>
            </w:r>
          </w:p>
          <w:p w:rsidR="008479C2" w:rsidRPr="00F0135B" w:rsidRDefault="00034B93" w:rsidP="00F0135B">
            <w:pPr>
              <w:pBdr>
                <w:top w:val="nil"/>
                <w:left w:val="nil"/>
                <w:bottom w:val="nil"/>
                <w:right w:val="nil"/>
                <w:between w:val="nil"/>
              </w:pBdr>
              <w:rPr>
                <w:rFonts w:asciiTheme="majorHAnsi" w:hAnsiTheme="majorHAnsi" w:cstheme="majorHAnsi"/>
                <w:color w:val="000000"/>
                <w:sz w:val="16"/>
                <w:szCs w:val="16"/>
              </w:rPr>
            </w:pPr>
            <w:r w:rsidRPr="00F0135B">
              <w:rPr>
                <w:rFonts w:asciiTheme="majorHAnsi" w:hAnsiTheme="majorHAnsi" w:cstheme="majorHAnsi"/>
                <w:color w:val="000000"/>
                <w:sz w:val="16"/>
                <w:szCs w:val="16"/>
              </w:rPr>
              <w:t>Jefe de Sector de E. primaria</w:t>
            </w:r>
            <w:r w:rsidR="00F0135B">
              <w:rPr>
                <w:rFonts w:asciiTheme="majorHAnsi" w:hAnsiTheme="majorHAnsi" w:cstheme="majorHAnsi"/>
                <w:color w:val="000000"/>
                <w:sz w:val="16"/>
                <w:szCs w:val="16"/>
              </w:rPr>
              <w:t>.</w:t>
            </w:r>
            <w:r w:rsidRPr="00F0135B">
              <w:rPr>
                <w:rFonts w:asciiTheme="majorHAnsi" w:hAnsiTheme="majorHAnsi" w:cstheme="majorHAnsi"/>
                <w:color w:val="000000"/>
                <w:sz w:val="16"/>
                <w:szCs w:val="16"/>
              </w:rPr>
              <w:t xml:space="preserve"> </w:t>
            </w:r>
          </w:p>
        </w:tc>
      </w:tr>
      <w:tr w:rsidR="008479C2" w:rsidTr="00F0135B">
        <w:tc>
          <w:tcPr>
            <w:tcW w:w="1277" w:type="dxa"/>
            <w:vMerge w:val="restart"/>
            <w:vAlign w:val="center"/>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Primaria Indígena</w:t>
            </w:r>
            <w:r>
              <w:rPr>
                <w:b/>
                <w:color w:val="000000"/>
                <w:sz w:val="18"/>
                <w:szCs w:val="18"/>
                <w:vertAlign w:val="superscript"/>
              </w:rPr>
              <w:footnoteReference w:id="11"/>
            </w:r>
          </w:p>
        </w:tc>
        <w:tc>
          <w:tcPr>
            <w:tcW w:w="3685" w:type="dxa"/>
          </w:tcPr>
          <w:p w:rsidR="008479C2" w:rsidRDefault="00034B93" w:rsidP="00F0135B">
            <w:pPr>
              <w:pBdr>
                <w:top w:val="nil"/>
                <w:left w:val="nil"/>
                <w:bottom w:val="nil"/>
                <w:right w:val="nil"/>
                <w:between w:val="nil"/>
              </w:pBdr>
              <w:rPr>
                <w:color w:val="000000"/>
                <w:sz w:val="18"/>
                <w:szCs w:val="18"/>
              </w:rPr>
            </w:pPr>
            <w:r>
              <w:rPr>
                <w:color w:val="000000"/>
                <w:sz w:val="18"/>
                <w:szCs w:val="18"/>
              </w:rPr>
              <w:t>Director bilingüe de educación primaria indígena (C E1483).</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 xml:space="preserve">Inspector  Bilingüe de E. primaria indígena </w:t>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primaria indígena (C E2609)</w:t>
            </w:r>
            <w:r>
              <w:rPr>
                <w:color w:val="000000"/>
                <w:sz w:val="18"/>
                <w:szCs w:val="18"/>
                <w:vertAlign w:val="superscript"/>
              </w:rPr>
              <w:t>12</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034B93" w:rsidP="00F0135B">
            <w:pPr>
              <w:pBdr>
                <w:top w:val="nil"/>
                <w:left w:val="nil"/>
                <w:bottom w:val="nil"/>
                <w:right w:val="nil"/>
                <w:between w:val="nil"/>
              </w:pBdr>
              <w:spacing w:line="259" w:lineRule="auto"/>
              <w:rPr>
                <w:color w:val="000000"/>
                <w:sz w:val="18"/>
                <w:szCs w:val="18"/>
              </w:rPr>
            </w:pPr>
            <w:r>
              <w:rPr>
                <w:color w:val="000000"/>
                <w:sz w:val="18"/>
                <w:szCs w:val="18"/>
              </w:rPr>
              <w:t>Inspector  Bilingüe de E. primaria indígena</w:t>
            </w:r>
            <w:r>
              <w:rPr>
                <w:color w:val="000000"/>
                <w:sz w:val="18"/>
                <w:szCs w:val="18"/>
                <w:vertAlign w:val="superscript"/>
              </w:rPr>
              <w:footnoteReference w:id="12"/>
            </w:r>
          </w:p>
        </w:tc>
        <w:tc>
          <w:tcPr>
            <w:tcW w:w="2552" w:type="dxa"/>
          </w:tcPr>
          <w:p w:rsidR="008479C2" w:rsidRDefault="008479C2">
            <w:pPr>
              <w:pBdr>
                <w:top w:val="nil"/>
                <w:left w:val="nil"/>
                <w:bottom w:val="nil"/>
                <w:right w:val="nil"/>
                <w:between w:val="nil"/>
              </w:pBdr>
              <w:spacing w:after="160" w:line="259" w:lineRule="auto"/>
              <w:rPr>
                <w:color w:val="000000"/>
                <w:sz w:val="18"/>
                <w:szCs w:val="18"/>
              </w:rPr>
            </w:pPr>
          </w:p>
        </w:tc>
      </w:tr>
      <w:tr w:rsidR="008479C2" w:rsidTr="00F0135B">
        <w:tc>
          <w:tcPr>
            <w:tcW w:w="1277" w:type="dxa"/>
            <w:vMerge/>
            <w:vAlign w:val="center"/>
          </w:tcPr>
          <w:p w:rsidR="008479C2" w:rsidRDefault="008479C2">
            <w:pPr>
              <w:widowControl w:val="0"/>
              <w:pBdr>
                <w:top w:val="nil"/>
                <w:left w:val="nil"/>
                <w:bottom w:val="nil"/>
                <w:right w:val="nil"/>
                <w:between w:val="nil"/>
              </w:pBdr>
              <w:spacing w:line="276" w:lineRule="auto"/>
              <w:rPr>
                <w:color w:val="000000"/>
                <w:sz w:val="18"/>
                <w:szCs w:val="18"/>
              </w:rPr>
            </w:pPr>
          </w:p>
        </w:tc>
        <w:tc>
          <w:tcPr>
            <w:tcW w:w="368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Inspector bilingüe de educación primaria indígena o (C E1481).</w:t>
            </w:r>
          </w:p>
        </w:tc>
        <w:tc>
          <w:tcPr>
            <w:tcW w:w="1134" w:type="dxa"/>
          </w:tcPr>
          <w:p w:rsidR="008479C2" w:rsidRDefault="008479C2">
            <w:pPr>
              <w:pBdr>
                <w:top w:val="nil"/>
                <w:left w:val="nil"/>
                <w:bottom w:val="nil"/>
                <w:right w:val="nil"/>
                <w:between w:val="nil"/>
              </w:pBdr>
              <w:spacing w:after="160" w:line="259" w:lineRule="auto"/>
              <w:rPr>
                <w:color w:val="000000"/>
                <w:sz w:val="18"/>
                <w:szCs w:val="18"/>
              </w:rPr>
            </w:pPr>
          </w:p>
        </w:tc>
        <w:tc>
          <w:tcPr>
            <w:tcW w:w="2268" w:type="dxa"/>
          </w:tcPr>
          <w:p w:rsidR="008479C2" w:rsidRDefault="008479C2">
            <w:pPr>
              <w:pBdr>
                <w:top w:val="nil"/>
                <w:left w:val="nil"/>
                <w:bottom w:val="nil"/>
                <w:right w:val="nil"/>
                <w:between w:val="nil"/>
              </w:pBdr>
              <w:spacing w:after="160" w:line="259" w:lineRule="auto"/>
              <w:rPr>
                <w:color w:val="000000"/>
                <w:sz w:val="18"/>
                <w:szCs w:val="18"/>
              </w:rPr>
            </w:pPr>
          </w:p>
        </w:tc>
        <w:tc>
          <w:tcPr>
            <w:tcW w:w="2552"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Jefe de Zona de Supervisión de educación indígena </w:t>
            </w:r>
          </w:p>
        </w:tc>
      </w:tr>
    </w:tbl>
    <w:p w:rsidR="008479C2" w:rsidRDefault="008479C2">
      <w:pPr>
        <w:pBdr>
          <w:top w:val="nil"/>
          <w:left w:val="nil"/>
          <w:bottom w:val="nil"/>
          <w:right w:val="nil"/>
          <w:between w:val="nil"/>
        </w:pBdr>
        <w:spacing w:after="200" w:line="276" w:lineRule="auto"/>
        <w:rPr>
          <w:color w:val="000000"/>
        </w:rPr>
      </w:pPr>
    </w:p>
    <w:p w:rsidR="008479C2" w:rsidRDefault="008479C2">
      <w:pPr>
        <w:pBdr>
          <w:top w:val="nil"/>
          <w:left w:val="nil"/>
          <w:bottom w:val="nil"/>
          <w:right w:val="nil"/>
          <w:between w:val="nil"/>
        </w:pBdr>
        <w:spacing w:after="200" w:line="276" w:lineRule="auto"/>
        <w:rPr>
          <w:color w:val="000000"/>
        </w:rPr>
      </w:pPr>
    </w:p>
    <w:tbl>
      <w:tblPr>
        <w:tblStyle w:val="a6"/>
        <w:tblW w:w="1077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2"/>
        <w:gridCol w:w="2805"/>
        <w:gridCol w:w="1849"/>
        <w:gridCol w:w="2327"/>
        <w:gridCol w:w="2061"/>
      </w:tblGrid>
      <w:tr w:rsidR="008479C2" w:rsidTr="00880519">
        <w:tc>
          <w:tcPr>
            <w:tcW w:w="1732"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Educación</w:t>
            </w:r>
          </w:p>
        </w:tc>
        <w:tc>
          <w:tcPr>
            <w:tcW w:w="2805"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Categoría</w:t>
            </w:r>
          </w:p>
        </w:tc>
        <w:tc>
          <w:tcPr>
            <w:tcW w:w="1849"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enseñanza</w:t>
            </w:r>
          </w:p>
        </w:tc>
        <w:tc>
          <w:tcPr>
            <w:tcW w:w="2327"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/Inspector de Zona/Supervisor</w:t>
            </w:r>
          </w:p>
        </w:tc>
        <w:tc>
          <w:tcPr>
            <w:tcW w:w="2061" w:type="dxa"/>
            <w:vAlign w:val="center"/>
          </w:tcPr>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Inspector General de Sector (Inspector General de Supervisión)/</w:t>
            </w:r>
          </w:p>
          <w:p w:rsidR="008479C2" w:rsidRDefault="00034B93" w:rsidP="00880519">
            <w:pPr>
              <w:pBdr>
                <w:top w:val="nil"/>
                <w:left w:val="nil"/>
                <w:bottom w:val="nil"/>
                <w:right w:val="nil"/>
                <w:between w:val="nil"/>
              </w:pBdr>
              <w:jc w:val="center"/>
              <w:rPr>
                <w:b/>
                <w:color w:val="000000"/>
                <w:sz w:val="18"/>
                <w:szCs w:val="18"/>
              </w:rPr>
            </w:pPr>
            <w:r>
              <w:rPr>
                <w:b/>
                <w:color w:val="000000"/>
                <w:sz w:val="18"/>
                <w:szCs w:val="18"/>
              </w:rPr>
              <w:t>Jefe de Zona de Supervisión (Jefe de Zona de Supervisión)/Jefe de Sector</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w:t>
            </w:r>
          </w:p>
          <w:p w:rsidR="008479C2" w:rsidRDefault="00034B93" w:rsidP="00880519">
            <w:pPr>
              <w:pBdr>
                <w:top w:val="nil"/>
                <w:left w:val="nil"/>
                <w:bottom w:val="nil"/>
                <w:right w:val="nil"/>
                <w:between w:val="nil"/>
              </w:pBdr>
              <w:rPr>
                <w:b/>
                <w:color w:val="000000"/>
                <w:sz w:val="18"/>
                <w:szCs w:val="18"/>
              </w:rPr>
            </w:pPr>
            <w:r>
              <w:rPr>
                <w:b/>
                <w:color w:val="000000"/>
                <w:sz w:val="18"/>
                <w:szCs w:val="18"/>
              </w:rPr>
              <w:t>General</w:t>
            </w:r>
            <w:r>
              <w:rPr>
                <w:b/>
                <w:color w:val="000000"/>
                <w:sz w:val="18"/>
                <w:szCs w:val="18"/>
                <w:vertAlign w:val="superscript"/>
              </w:rPr>
              <w:footnoteReference w:id="13"/>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secundaria (C E0320 y E0321).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(C E0350 y E0351).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segunda enseñanza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Secundaria Técnica</w:t>
            </w:r>
            <w:r>
              <w:rPr>
                <w:b/>
                <w:color w:val="000000"/>
                <w:sz w:val="18"/>
                <w:szCs w:val="18"/>
                <w:vertAlign w:val="superscript"/>
              </w:rPr>
              <w:footnoteReference w:id="14"/>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secundaria técnica (C E0420 y E0421).</w:t>
            </w:r>
          </w:p>
        </w:tc>
        <w:tc>
          <w:tcPr>
            <w:tcW w:w="1849"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Jefe de Enseñanza secundaria técnica </w:t>
            </w: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enseñanza secundaria técnica (C E0450 y E0451).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General  de secundarias técnicas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Telesecundaria</w:t>
            </w:r>
            <w:r>
              <w:rPr>
                <w:b/>
                <w:color w:val="000000"/>
                <w:sz w:val="18"/>
                <w:szCs w:val="18"/>
                <w:vertAlign w:val="superscript"/>
              </w:rPr>
              <w:footnoteReference w:id="15"/>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Horas de maestro de telesecundaria (C E2780 y E2781).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Inspector de zona de telesecundaria (C E2710 y E2711).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8479C2" w:rsidP="00880519">
            <w:pPr>
              <w:pBdr>
                <w:top w:val="nil"/>
                <w:left w:val="nil"/>
                <w:bottom w:val="nil"/>
                <w:right w:val="nil"/>
                <w:between w:val="nil"/>
              </w:pBdr>
              <w:rPr>
                <w:color w:val="000000"/>
                <w:sz w:val="18"/>
                <w:szCs w:val="18"/>
              </w:rPr>
            </w:pPr>
          </w:p>
        </w:tc>
        <w:tc>
          <w:tcPr>
            <w:tcW w:w="2061"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Jefe de Sector de telesecundaria.</w:t>
            </w: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especial</w:t>
            </w:r>
            <w:r>
              <w:rPr>
                <w:b/>
                <w:color w:val="000000"/>
                <w:sz w:val="18"/>
                <w:szCs w:val="18"/>
                <w:vertAlign w:val="superscript"/>
              </w:rPr>
              <w:footnoteReference w:id="16"/>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Director de escuela de educación especial (C E0629).</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Supervisor de educación especial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rPr>
                <w:color w:val="000000"/>
                <w:sz w:val="18"/>
                <w:szCs w:val="18"/>
              </w:rPr>
            </w:pP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Asesor Técnico Pedagógico En educación especial (C E2604 y E2605)</w:t>
            </w:r>
            <w:r>
              <w:rPr>
                <w:color w:val="000000"/>
                <w:sz w:val="18"/>
                <w:szCs w:val="18"/>
                <w:vertAlign w:val="superscript"/>
              </w:rPr>
              <w:t>21</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Supervisor de educación especial</w:t>
            </w:r>
            <w:r>
              <w:rPr>
                <w:color w:val="000000"/>
                <w:sz w:val="18"/>
                <w:szCs w:val="18"/>
                <w:vertAlign w:val="superscript"/>
              </w:rPr>
              <w:footnoteReference w:id="17"/>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restart"/>
            <w:vAlign w:val="center"/>
          </w:tcPr>
          <w:p w:rsidR="008479C2" w:rsidRDefault="00034B93" w:rsidP="00880519">
            <w:pPr>
              <w:pBdr>
                <w:top w:val="nil"/>
                <w:left w:val="nil"/>
                <w:bottom w:val="nil"/>
                <w:right w:val="nil"/>
                <w:between w:val="nil"/>
              </w:pBdr>
              <w:rPr>
                <w:b/>
                <w:color w:val="000000"/>
                <w:sz w:val="18"/>
                <w:szCs w:val="18"/>
              </w:rPr>
            </w:pPr>
            <w:r>
              <w:rPr>
                <w:b/>
                <w:color w:val="000000"/>
                <w:sz w:val="18"/>
                <w:szCs w:val="18"/>
              </w:rPr>
              <w:t>Educación física</w:t>
            </w:r>
            <w:r>
              <w:rPr>
                <w:b/>
                <w:color w:val="000000"/>
                <w:sz w:val="18"/>
                <w:szCs w:val="18"/>
                <w:vertAlign w:val="superscript"/>
              </w:rPr>
              <w:footnoteReference w:id="18"/>
            </w:r>
          </w:p>
        </w:tc>
        <w:tc>
          <w:tcPr>
            <w:tcW w:w="2805"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Profesor de educación física (C E0761, E0762, E0763, E0764, E0765 y E0773). </w:t>
            </w:r>
          </w:p>
        </w:tc>
        <w:tc>
          <w:tcPr>
            <w:tcW w:w="1849" w:type="dxa"/>
            <w:vAlign w:val="center"/>
          </w:tcPr>
          <w:p w:rsidR="008479C2" w:rsidRDefault="008479C2" w:rsidP="00880519">
            <w:pPr>
              <w:pBdr>
                <w:top w:val="nil"/>
                <w:left w:val="nil"/>
                <w:bottom w:val="nil"/>
                <w:right w:val="nil"/>
                <w:between w:val="nil"/>
              </w:pBdr>
              <w:rPr>
                <w:color w:val="000000"/>
                <w:sz w:val="18"/>
                <w:szCs w:val="18"/>
              </w:rPr>
            </w:pPr>
          </w:p>
        </w:tc>
        <w:tc>
          <w:tcPr>
            <w:tcW w:w="2327" w:type="dxa"/>
            <w:vAlign w:val="center"/>
          </w:tcPr>
          <w:p w:rsidR="008479C2" w:rsidRDefault="00034B93" w:rsidP="00880519">
            <w:pPr>
              <w:pBdr>
                <w:top w:val="nil"/>
                <w:left w:val="nil"/>
                <w:bottom w:val="nil"/>
                <w:right w:val="nil"/>
                <w:between w:val="nil"/>
              </w:pBdr>
              <w:rPr>
                <w:color w:val="000000"/>
                <w:sz w:val="18"/>
                <w:szCs w:val="18"/>
              </w:rPr>
            </w:pPr>
            <w:r>
              <w:rPr>
                <w:color w:val="000000"/>
                <w:sz w:val="18"/>
                <w:szCs w:val="18"/>
              </w:rPr>
              <w:t xml:space="preserve">Inspector  normalista de educación física </w:t>
            </w:r>
          </w:p>
        </w:tc>
        <w:tc>
          <w:tcPr>
            <w:tcW w:w="2061" w:type="dxa"/>
            <w:vAlign w:val="center"/>
          </w:tcPr>
          <w:p w:rsidR="008479C2" w:rsidRDefault="008479C2" w:rsidP="00880519">
            <w:pPr>
              <w:pBdr>
                <w:top w:val="nil"/>
                <w:left w:val="nil"/>
                <w:bottom w:val="nil"/>
                <w:right w:val="nil"/>
                <w:between w:val="nil"/>
              </w:pBdr>
              <w:rPr>
                <w:color w:val="000000"/>
                <w:sz w:val="18"/>
                <w:szCs w:val="18"/>
              </w:rPr>
            </w:pPr>
          </w:p>
        </w:tc>
      </w:tr>
      <w:tr w:rsidR="008479C2" w:rsidTr="00880519">
        <w:tc>
          <w:tcPr>
            <w:tcW w:w="1732" w:type="dxa"/>
            <w:vMerge/>
            <w:vAlign w:val="center"/>
          </w:tcPr>
          <w:p w:rsidR="008479C2" w:rsidRDefault="008479C2" w:rsidP="00880519">
            <w:pPr>
              <w:widowControl w:val="0"/>
              <w:pBdr>
                <w:top w:val="nil"/>
                <w:left w:val="nil"/>
                <w:bottom w:val="nil"/>
                <w:right w:val="nil"/>
                <w:between w:val="nil"/>
              </w:pBdr>
              <w:spacing w:line="276" w:lineRule="auto"/>
              <w:rPr>
                <w:color w:val="000000"/>
                <w:sz w:val="18"/>
                <w:szCs w:val="18"/>
              </w:rPr>
            </w:pPr>
          </w:p>
        </w:tc>
        <w:tc>
          <w:tcPr>
            <w:tcW w:w="2805"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Asesor técnico pedagógico en educación física (C E2804 y E2805)</w:t>
            </w:r>
            <w:r>
              <w:rPr>
                <w:color w:val="000000"/>
                <w:sz w:val="18"/>
                <w:szCs w:val="18"/>
                <w:vertAlign w:val="superscript"/>
              </w:rPr>
              <w:t>23</w:t>
            </w:r>
          </w:p>
        </w:tc>
        <w:tc>
          <w:tcPr>
            <w:tcW w:w="1849"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c>
          <w:tcPr>
            <w:tcW w:w="2327" w:type="dxa"/>
            <w:vAlign w:val="center"/>
          </w:tcPr>
          <w:p w:rsidR="008479C2" w:rsidRDefault="00034B93" w:rsidP="00880519">
            <w:pPr>
              <w:pBdr>
                <w:top w:val="nil"/>
                <w:left w:val="nil"/>
                <w:bottom w:val="nil"/>
                <w:right w:val="nil"/>
                <w:between w:val="nil"/>
              </w:pBdr>
              <w:spacing w:line="259" w:lineRule="auto"/>
              <w:rPr>
                <w:color w:val="000000"/>
                <w:sz w:val="18"/>
                <w:szCs w:val="18"/>
              </w:rPr>
            </w:pPr>
            <w:r>
              <w:rPr>
                <w:color w:val="000000"/>
                <w:sz w:val="18"/>
                <w:szCs w:val="18"/>
              </w:rPr>
              <w:t>inspector normalista de educación física</w:t>
            </w:r>
            <w:r>
              <w:rPr>
                <w:color w:val="000000"/>
                <w:sz w:val="18"/>
                <w:szCs w:val="18"/>
                <w:vertAlign w:val="superscript"/>
              </w:rPr>
              <w:footnoteReference w:id="19"/>
            </w:r>
          </w:p>
        </w:tc>
        <w:tc>
          <w:tcPr>
            <w:tcW w:w="2061" w:type="dxa"/>
            <w:vAlign w:val="center"/>
          </w:tcPr>
          <w:p w:rsidR="008479C2" w:rsidRDefault="008479C2" w:rsidP="00880519">
            <w:pPr>
              <w:pBdr>
                <w:top w:val="nil"/>
                <w:left w:val="nil"/>
                <w:bottom w:val="nil"/>
                <w:right w:val="nil"/>
                <w:between w:val="nil"/>
              </w:pBdr>
              <w:spacing w:line="259" w:lineRule="auto"/>
              <w:rPr>
                <w:color w:val="000000"/>
                <w:sz w:val="18"/>
                <w:szCs w:val="18"/>
              </w:rPr>
            </w:pPr>
          </w:p>
        </w:tc>
      </w:tr>
      <w:tr w:rsidR="008479C2" w:rsidTr="00880519">
        <w:tc>
          <w:tcPr>
            <w:tcW w:w="1732" w:type="dxa"/>
          </w:tcPr>
          <w:p w:rsidR="008479C2" w:rsidRDefault="00034B93">
            <w:pPr>
              <w:pBdr>
                <w:top w:val="nil"/>
                <w:left w:val="nil"/>
                <w:bottom w:val="nil"/>
                <w:right w:val="nil"/>
                <w:between w:val="nil"/>
              </w:pBdr>
              <w:spacing w:after="160" w:line="259" w:lineRule="auto"/>
              <w:rPr>
                <w:b/>
                <w:color w:val="000000"/>
                <w:sz w:val="18"/>
                <w:szCs w:val="18"/>
              </w:rPr>
            </w:pPr>
            <w:r>
              <w:rPr>
                <w:b/>
                <w:color w:val="000000"/>
                <w:sz w:val="18"/>
                <w:szCs w:val="18"/>
              </w:rPr>
              <w:t>Educación básica para adultos</w:t>
            </w:r>
            <w:r>
              <w:rPr>
                <w:b/>
                <w:color w:val="000000"/>
                <w:sz w:val="18"/>
                <w:szCs w:val="18"/>
                <w:vertAlign w:val="superscript"/>
              </w:rPr>
              <w:footnoteReference w:id="20"/>
            </w:r>
          </w:p>
        </w:tc>
        <w:tc>
          <w:tcPr>
            <w:tcW w:w="2805"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Director de educación básica para adultos nocturna (C E1524 y E1525).</w:t>
            </w:r>
          </w:p>
        </w:tc>
        <w:tc>
          <w:tcPr>
            <w:tcW w:w="1849" w:type="dxa"/>
          </w:tcPr>
          <w:p w:rsidR="008479C2" w:rsidRDefault="008479C2">
            <w:pPr>
              <w:pBdr>
                <w:top w:val="nil"/>
                <w:left w:val="nil"/>
                <w:bottom w:val="nil"/>
                <w:right w:val="nil"/>
                <w:between w:val="nil"/>
              </w:pBdr>
              <w:spacing w:after="160" w:line="259" w:lineRule="auto"/>
              <w:rPr>
                <w:color w:val="000000"/>
                <w:sz w:val="18"/>
                <w:szCs w:val="18"/>
              </w:rPr>
            </w:pPr>
          </w:p>
        </w:tc>
        <w:tc>
          <w:tcPr>
            <w:tcW w:w="2327" w:type="dxa"/>
          </w:tcPr>
          <w:p w:rsidR="008479C2" w:rsidRDefault="00034B93">
            <w:pPr>
              <w:pBdr>
                <w:top w:val="nil"/>
                <w:left w:val="nil"/>
                <w:bottom w:val="nil"/>
                <w:right w:val="nil"/>
                <w:between w:val="nil"/>
              </w:pBdr>
              <w:spacing w:after="160" w:line="259" w:lineRule="auto"/>
              <w:rPr>
                <w:color w:val="000000"/>
                <w:sz w:val="18"/>
                <w:szCs w:val="18"/>
              </w:rPr>
            </w:pPr>
            <w:r>
              <w:rPr>
                <w:color w:val="000000"/>
                <w:sz w:val="18"/>
                <w:szCs w:val="18"/>
              </w:rPr>
              <w:t xml:space="preserve">Inspector  de educación básica para adultos </w:t>
            </w:r>
          </w:p>
        </w:tc>
        <w:tc>
          <w:tcPr>
            <w:tcW w:w="2061" w:type="dxa"/>
          </w:tcPr>
          <w:p w:rsidR="008479C2" w:rsidRDefault="008479C2">
            <w:pPr>
              <w:pBdr>
                <w:top w:val="nil"/>
                <w:left w:val="nil"/>
                <w:bottom w:val="nil"/>
                <w:right w:val="nil"/>
                <w:between w:val="nil"/>
              </w:pBdr>
              <w:spacing w:after="160" w:line="259" w:lineRule="auto"/>
              <w:rPr>
                <w:color w:val="000000"/>
                <w:sz w:val="18"/>
                <w:szCs w:val="18"/>
              </w:rPr>
            </w:pPr>
          </w:p>
        </w:tc>
      </w:tr>
    </w:tbl>
    <w:p w:rsidR="008479C2" w:rsidRDefault="00034B93">
      <w:pPr>
        <w:pBdr>
          <w:top w:val="nil"/>
          <w:left w:val="nil"/>
          <w:bottom w:val="nil"/>
          <w:right w:val="nil"/>
          <w:between w:val="nil"/>
        </w:pBdr>
        <w:spacing w:after="0" w:line="240" w:lineRule="auto"/>
        <w:jc w:val="both"/>
        <w:rPr>
          <w:b/>
          <w:color w:val="000000"/>
        </w:rPr>
      </w:pPr>
      <w:r>
        <w:rPr>
          <w:color w:val="000000"/>
          <w:sz w:val="16"/>
          <w:szCs w:val="16"/>
        </w:rPr>
        <w:t>* Se excluye el personal docente asignado, de forma temporal, a funciones de asesoría técnica pedagógica mediante proceso de reconocimiento, quienes podrán participar en la promoción vertical a funciones de subdirección o dirección, según corresponda.</w:t>
      </w:r>
    </w:p>
    <w:p w:rsidR="008479C2" w:rsidRDefault="008479C2">
      <w:pPr>
        <w:pBdr>
          <w:top w:val="nil"/>
          <w:left w:val="nil"/>
          <w:bottom w:val="nil"/>
          <w:right w:val="nil"/>
          <w:between w:val="nil"/>
        </w:pBdr>
        <w:spacing w:line="240" w:lineRule="auto"/>
        <w:rPr>
          <w:b/>
          <w:color w:val="000000"/>
        </w:rPr>
      </w:pPr>
    </w:p>
    <w:sectPr w:rsidR="008479C2">
      <w:pgSz w:w="12240" w:h="15840"/>
      <w:pgMar w:top="851" w:right="760" w:bottom="851" w:left="1077"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AC6" w:rsidRDefault="003F2AC6">
      <w:pPr>
        <w:spacing w:after="0" w:line="240" w:lineRule="auto"/>
      </w:pPr>
      <w:r>
        <w:separator/>
      </w:r>
    </w:p>
  </w:endnote>
  <w:endnote w:type="continuationSeparator" w:id="0">
    <w:p w:rsidR="003F2AC6" w:rsidRDefault="003F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AC6" w:rsidRDefault="003F2AC6">
      <w:pPr>
        <w:spacing w:after="0" w:line="240" w:lineRule="auto"/>
      </w:pPr>
      <w:r>
        <w:separator/>
      </w:r>
    </w:p>
  </w:footnote>
  <w:footnote w:type="continuationSeparator" w:id="0">
    <w:p w:rsidR="003F2AC6" w:rsidRDefault="003F2AC6">
      <w:pPr>
        <w:spacing w:after="0" w:line="240" w:lineRule="auto"/>
      </w:pPr>
      <w:r>
        <w:continuationSeparator/>
      </w:r>
    </w:p>
  </w:footnote>
  <w:footnote w:id="1">
    <w:p w:rsidR="00034B93" w:rsidRDefault="00034B93">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w:t>
      </w:r>
      <w:r>
        <w:rPr>
          <w:i/>
          <w:color w:val="000000"/>
          <w:sz w:val="18"/>
          <w:szCs w:val="18"/>
        </w:rPr>
        <w:t>Lineamientos generales del proceso de selección para la promoción a funciones de dirección y de supervisión en Educación Básica. Promoción vertical</w:t>
      </w:r>
      <w:r>
        <w:rPr>
          <w:color w:val="000000"/>
          <w:sz w:val="18"/>
          <w:szCs w:val="18"/>
        </w:rPr>
        <w:t>, pág. 13; Sistema de Apreciación (2019), Documento Rector, p. 34.</w:t>
      </w:r>
    </w:p>
  </w:footnote>
  <w:footnote w:id="2">
    <w:p w:rsidR="00861F10" w:rsidRPr="00861F10" w:rsidRDefault="00861F10" w:rsidP="00861F10">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034B93" w:rsidRDefault="00034B9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Pr>
          <w:b/>
          <w:i/>
          <w:color w:val="000000"/>
          <w:sz w:val="20"/>
          <w:szCs w:val="20"/>
        </w:rPr>
        <w:t>Lineamientos Generales del proceso de selección para la promoción a funciones de dirección y supervisión</w:t>
      </w:r>
      <w:r>
        <w:rPr>
          <w:color w:val="000000"/>
          <w:sz w:val="20"/>
          <w:szCs w:val="20"/>
        </w:rPr>
        <w:t>, p. 13.</w:t>
      </w:r>
    </w:p>
  </w:footnote>
  <w:footnote w:id="3">
    <w:p w:rsidR="00034B93" w:rsidRDefault="00034B93">
      <w:pPr>
        <w:pBdr>
          <w:top w:val="nil"/>
          <w:left w:val="nil"/>
          <w:bottom w:val="nil"/>
          <w:right w:val="nil"/>
          <w:between w:val="nil"/>
        </w:pBdr>
        <w:spacing w:after="0" w:line="240" w:lineRule="auto"/>
        <w:jc w:val="both"/>
        <w:rPr>
          <w:rFonts w:ascii="Arial" w:eastAsia="Arial" w:hAnsi="Arial" w:cs="Arial"/>
          <w:color w:val="000000"/>
          <w:sz w:val="16"/>
          <w:szCs w:val="16"/>
          <w:highlight w:val="white"/>
        </w:rPr>
      </w:pPr>
      <w:r>
        <w:rPr>
          <w:vertAlign w:val="superscript"/>
        </w:rPr>
        <w:footnoteRef/>
      </w:r>
      <w:r>
        <w:rPr>
          <w:rFonts w:ascii="Arial" w:eastAsia="Arial" w:hAnsi="Arial" w:cs="Arial"/>
          <w:color w:val="000000"/>
          <w:sz w:val="16"/>
          <w:szCs w:val="16"/>
        </w:rPr>
        <w:t xml:space="preserve"> De acuerdo a la normatividad federal vigente en la materia en la LGSCMM </w:t>
      </w:r>
      <w:r>
        <w:rPr>
          <w:rFonts w:ascii="Arial" w:eastAsia="Arial" w:hAnsi="Arial" w:cs="Arial"/>
          <w:color w:val="000000"/>
          <w:sz w:val="16"/>
          <w:szCs w:val="16"/>
          <w:highlight w:val="white"/>
        </w:rPr>
        <w:t>se establece que los resultados y recomendaciones individuales que deriven de los procesos de selección, serán considerados datos personales; de tal manera que la información que se genere por la aplicación de la presente Ley, quedará sujeta a las disposiciones contenidas en la Ley General de Transparencia y Acceso a la Información Pública, la Ley General de Protección de Datos Personales en Posesión de Sujetos Obligados, en la Ley General de Archivos, además de las disposiciones federales y locales en la materia.</w:t>
      </w:r>
    </w:p>
    <w:p w:rsidR="00034B93" w:rsidRDefault="00034B93">
      <w:pPr>
        <w:pBdr>
          <w:top w:val="nil"/>
          <w:left w:val="nil"/>
          <w:bottom w:val="nil"/>
          <w:right w:val="nil"/>
          <w:between w:val="nil"/>
        </w:pBdr>
        <w:spacing w:after="0" w:line="240" w:lineRule="auto"/>
        <w:jc w:val="both"/>
        <w:rPr>
          <w:rFonts w:ascii="Roboto" w:eastAsia="Roboto" w:hAnsi="Roboto" w:cs="Roboto"/>
          <w:color w:val="3C4043"/>
          <w:sz w:val="18"/>
          <w:szCs w:val="18"/>
          <w:highlight w:val="white"/>
        </w:rPr>
      </w:pPr>
    </w:p>
  </w:footnote>
  <w:footnote w:id="4">
    <w:p w:rsidR="00034B93" w:rsidRPr="00880519" w:rsidRDefault="00034B93">
      <w:pPr>
        <w:pBdr>
          <w:top w:val="nil"/>
          <w:left w:val="nil"/>
          <w:bottom w:val="nil"/>
          <w:right w:val="nil"/>
          <w:between w:val="nil"/>
        </w:pBdr>
        <w:spacing w:after="0" w:line="240" w:lineRule="auto"/>
        <w:rPr>
          <w:color w:val="000000"/>
          <w:sz w:val="16"/>
          <w:szCs w:val="16"/>
        </w:rPr>
      </w:pPr>
      <w:r>
        <w:rPr>
          <w:vertAlign w:val="superscript"/>
        </w:rPr>
        <w:footnoteRef/>
      </w:r>
      <w:r>
        <w:rPr>
          <w:color w:val="000000"/>
          <w:sz w:val="16"/>
          <w:szCs w:val="16"/>
        </w:rPr>
        <w:t xml:space="preserve"> </w:t>
      </w:r>
      <w:r w:rsidRPr="00880519">
        <w:rPr>
          <w:color w:val="000000"/>
          <w:sz w:val="16"/>
          <w:szCs w:val="16"/>
        </w:rPr>
        <w:t>LGPSPFDSEB, Artículo 14.</w:t>
      </w:r>
    </w:p>
  </w:footnote>
  <w:footnote w:id="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15.</w:t>
      </w:r>
    </w:p>
  </w:footnote>
  <w:footnote w:id="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 En educación preescolar (categorías E2602 y E2603)… podrá participar en la promoción vertical a funciones de inspectora de jardín de niños (categorías E0100 y E0101). LGPSPFDSEB, Artículo 24.</w:t>
      </w:r>
    </w:p>
  </w:footnote>
  <w:footnote w:id="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vertAlign w:val="superscript"/>
        </w:rPr>
        <w:t xml:space="preserve"> </w:t>
      </w:r>
      <w:r w:rsidRPr="00880519">
        <w:rPr>
          <w:color w:val="000000"/>
          <w:sz w:val="16"/>
          <w:szCs w:val="16"/>
        </w:rPr>
        <w:t>El personal con la categoría de asesor técnico pedagógico podrá promoverse, de acuerdo con las siguientes especificaciones: b. En educación preescolar indígena… podrá participar en la promoción vertical a funciones de inspector bilingüe de educación primaria indígena (categoría E1481). LGPSPFDSEB, Artículo 24.</w:t>
      </w:r>
    </w:p>
  </w:footnote>
  <w:footnote w:id="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16.</w:t>
      </w:r>
    </w:p>
  </w:footnote>
  <w:footnote w:id="1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a</w:t>
      </w:r>
      <w:r w:rsidR="00880519" w:rsidRPr="00880519">
        <w:rPr>
          <w:color w:val="000000"/>
          <w:sz w:val="16"/>
          <w:szCs w:val="16"/>
        </w:rPr>
        <w:t>)</w:t>
      </w:r>
      <w:proofErr w:type="gramStart"/>
      <w:r w:rsidR="00880519" w:rsidRPr="00880519">
        <w:rPr>
          <w:color w:val="000000"/>
          <w:sz w:val="16"/>
          <w:szCs w:val="16"/>
        </w:rPr>
        <w:t>..</w:t>
      </w:r>
      <w:proofErr w:type="gramEnd"/>
      <w:r w:rsidRPr="00880519">
        <w:rPr>
          <w:color w:val="000000"/>
          <w:sz w:val="16"/>
          <w:szCs w:val="16"/>
        </w:rPr>
        <w:t>en educación primaria (categorías E2600 y E2601) podrá participar en la promoción vertical a funciones de… inspector de zona de enseñanza primaria (categorías E0200 y E0201).  LGPSPFDSEB, Artículo 24.</w:t>
      </w:r>
    </w:p>
  </w:footnote>
  <w:footnote w:id="11">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17.</w:t>
      </w:r>
    </w:p>
  </w:footnote>
  <w:footnote w:id="12">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 b</w:t>
      </w:r>
      <w:r w:rsidR="00F0135B" w:rsidRPr="00880519">
        <w:rPr>
          <w:color w:val="000000"/>
          <w:sz w:val="16"/>
          <w:szCs w:val="16"/>
        </w:rPr>
        <w:t>)</w:t>
      </w:r>
      <w:r w:rsidRPr="00880519">
        <w:rPr>
          <w:color w:val="000000"/>
          <w:sz w:val="16"/>
          <w:szCs w:val="16"/>
        </w:rPr>
        <w:t>…en educación primaria indígena (categoría E2609) podrá participar en la promoción vertical a funciones de inspector bilingüe de educación primaria indígena (categoría E1481). LGPSPFDSEB, Artículo 24.</w:t>
      </w:r>
    </w:p>
  </w:footnote>
  <w:footnote w:id="13">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4">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18.</w:t>
      </w:r>
    </w:p>
  </w:footnote>
  <w:footnote w:id="15">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19.</w:t>
      </w:r>
    </w:p>
  </w:footnote>
  <w:footnote w:id="16">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20.</w:t>
      </w:r>
    </w:p>
  </w:footnote>
  <w:footnote w:id="17">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Artículo 24. El personal con la categoría de asesor técnico pedagógico podrá promoverse, de acuerdo con las siguientes especificaciones</w:t>
      </w:r>
      <w:proofErr w:type="gramStart"/>
      <w:r w:rsidRPr="00880519">
        <w:rPr>
          <w:color w:val="000000"/>
          <w:sz w:val="16"/>
          <w:szCs w:val="16"/>
        </w:rPr>
        <w:t>:  e</w:t>
      </w:r>
      <w:proofErr w:type="gramEnd"/>
      <w:r w:rsidRPr="00880519">
        <w:rPr>
          <w:color w:val="000000"/>
          <w:sz w:val="16"/>
          <w:szCs w:val="16"/>
        </w:rPr>
        <w:t>. En educación especial (categorías E2604 y E2605), podrá participar en la promoción vertical a la función de supervisor de educación especial (categorías E0632 y E0633). LGPSPFDSEB, Artículo 24.</w:t>
      </w:r>
    </w:p>
  </w:footnote>
  <w:footnote w:id="18">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21.</w:t>
      </w:r>
    </w:p>
  </w:footnote>
  <w:footnote w:id="19">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El personal con la categoría de asesor técnico pedagógico podrá promoverse, de acuerdo con las siguientes especificaciones</w:t>
      </w:r>
      <w:proofErr w:type="gramStart"/>
      <w:r w:rsidRPr="00880519">
        <w:rPr>
          <w:color w:val="000000"/>
          <w:sz w:val="16"/>
          <w:szCs w:val="16"/>
        </w:rPr>
        <w:t>:  f</w:t>
      </w:r>
      <w:proofErr w:type="gramEnd"/>
      <w:r w:rsidRPr="00880519">
        <w:rPr>
          <w:color w:val="000000"/>
          <w:sz w:val="16"/>
          <w:szCs w:val="16"/>
        </w:rPr>
        <w:t>. En educación física (categorías E2804 y E2805), podrá participar en la promoción vertical a la función de inspector normalista de educación física (categorías E0700 y E0701). LGPSPFDSEB, Artículo 24.</w:t>
      </w:r>
    </w:p>
  </w:footnote>
  <w:footnote w:id="20">
    <w:p w:rsidR="00034B93" w:rsidRPr="00880519" w:rsidRDefault="00034B93">
      <w:pPr>
        <w:pBdr>
          <w:top w:val="nil"/>
          <w:left w:val="nil"/>
          <w:bottom w:val="nil"/>
          <w:right w:val="nil"/>
          <w:between w:val="nil"/>
        </w:pBdr>
        <w:spacing w:after="0" w:line="240" w:lineRule="auto"/>
        <w:rPr>
          <w:color w:val="000000"/>
          <w:sz w:val="16"/>
          <w:szCs w:val="16"/>
        </w:rPr>
      </w:pPr>
      <w:r w:rsidRPr="00880519">
        <w:rPr>
          <w:sz w:val="16"/>
          <w:szCs w:val="16"/>
          <w:vertAlign w:val="superscript"/>
        </w:rPr>
        <w:footnoteRef/>
      </w:r>
      <w:r w:rsidRPr="00880519">
        <w:rPr>
          <w:color w:val="000000"/>
          <w:sz w:val="16"/>
          <w:szCs w:val="16"/>
        </w:rPr>
        <w:t xml:space="preserve"> LGPSPFDSEB, Artículo 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76E9C"/>
    <w:multiLevelType w:val="multilevel"/>
    <w:tmpl w:val="2DA81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1F5AE1"/>
    <w:multiLevelType w:val="multilevel"/>
    <w:tmpl w:val="41B87FC6"/>
    <w:lvl w:ilvl="0">
      <w:start w:val="1"/>
      <w:numFmt w:val="decimal"/>
      <w:lvlText w:val="%1."/>
      <w:lvlJc w:val="left"/>
      <w:pPr>
        <w:ind w:left="1080" w:hanging="360"/>
      </w:pPr>
      <w:rPr>
        <w:rFonts w:ascii="Calibri" w:eastAsia="Calibri" w:hAnsi="Calibri" w:cs="Calibri"/>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7071E6"/>
    <w:multiLevelType w:val="hybridMultilevel"/>
    <w:tmpl w:val="D5F22B8A"/>
    <w:lvl w:ilvl="0" w:tplc="E4C2A5E6">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C2"/>
    <w:rsid w:val="00034B93"/>
    <w:rsid w:val="000E28AA"/>
    <w:rsid w:val="002B79C1"/>
    <w:rsid w:val="003F2AC6"/>
    <w:rsid w:val="003F729B"/>
    <w:rsid w:val="00836C7B"/>
    <w:rsid w:val="008479C2"/>
    <w:rsid w:val="00861F10"/>
    <w:rsid w:val="00880519"/>
    <w:rsid w:val="008E57FB"/>
    <w:rsid w:val="00944ED3"/>
    <w:rsid w:val="009B26A0"/>
    <w:rsid w:val="009D3744"/>
    <w:rsid w:val="00A55AC1"/>
    <w:rsid w:val="00A62C29"/>
    <w:rsid w:val="00C95F1E"/>
    <w:rsid w:val="00D82B92"/>
    <w:rsid w:val="00E95F12"/>
    <w:rsid w:val="00F013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E4586-5E54-4E66-8EDA-25EC45F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0">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1">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2">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3">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4">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5">
    <w:basedOn w:val="TableNormal"/>
    <w:pPr>
      <w:spacing w:after="0" w:line="240" w:lineRule="auto"/>
    </w:pPr>
    <w:tblPr>
      <w:tblStyleRowBandSize w:val="1"/>
      <w:tblStyleColBandSize w:val="1"/>
      <w:tblCellMar>
        <w:top w:w="100" w:type="dxa"/>
        <w:left w:w="70" w:type="dxa"/>
        <w:bottom w:w="100" w:type="dxa"/>
        <w:right w:w="70" w:type="dxa"/>
      </w:tblCellMar>
    </w:tblPr>
  </w:style>
  <w:style w:type="table" w:customStyle="1" w:styleId="a6">
    <w:basedOn w:val="TableNormal"/>
    <w:pPr>
      <w:spacing w:after="0" w:line="240" w:lineRule="auto"/>
    </w:pPr>
    <w:tblPr>
      <w:tblStyleRowBandSize w:val="1"/>
      <w:tblStyleColBandSize w:val="1"/>
      <w:tblCellMar>
        <w:top w:w="100" w:type="dxa"/>
        <w:left w:w="70" w:type="dxa"/>
        <w:bottom w:w="100" w:type="dxa"/>
        <w:right w:w="70" w:type="dxa"/>
      </w:tblCellMar>
    </w:tblPr>
  </w:style>
  <w:style w:type="paragraph" w:styleId="Prrafodelista">
    <w:name w:val="List Paragraph"/>
    <w:basedOn w:val="Normal"/>
    <w:uiPriority w:val="34"/>
    <w:qFormat/>
    <w:rsid w:val="0086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3129</Words>
  <Characters>17212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Ruth Guevara</cp:lastModifiedBy>
  <cp:revision>7</cp:revision>
  <dcterms:created xsi:type="dcterms:W3CDTF">2020-02-07T23:10:00Z</dcterms:created>
  <dcterms:modified xsi:type="dcterms:W3CDTF">2020-02-08T00:22:00Z</dcterms:modified>
</cp:coreProperties>
</file>