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03EB8431" w:rsidR="00F54E23" w:rsidRDefault="005E7B95">
            <w:pPr>
              <w:rPr>
                <w:highlight w:val="cyan"/>
              </w:rPr>
            </w:pPr>
            <w:r w:rsidRPr="005E7B95">
              <w:t>EB-PV-EPTD-DIR-TRI-Gen-2021B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05BE97A8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8490C" w14:textId="77777777" w:rsidR="004D2E30" w:rsidRDefault="004D2E30">
      <w:pPr>
        <w:spacing w:after="0" w:line="240" w:lineRule="auto"/>
      </w:pPr>
      <w:r>
        <w:separator/>
      </w:r>
    </w:p>
  </w:endnote>
  <w:endnote w:type="continuationSeparator" w:id="0">
    <w:p w14:paraId="6C3B3A80" w14:textId="77777777" w:rsidR="004D2E30" w:rsidRDefault="004D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0C11A" w14:textId="77777777" w:rsidR="004D2E30" w:rsidRDefault="004D2E30">
      <w:pPr>
        <w:spacing w:after="0" w:line="240" w:lineRule="auto"/>
      </w:pPr>
      <w:r>
        <w:separator/>
      </w:r>
    </w:p>
  </w:footnote>
  <w:footnote w:type="continuationSeparator" w:id="0">
    <w:p w14:paraId="7BA59D94" w14:textId="77777777" w:rsidR="004D2E30" w:rsidRDefault="004D2E30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4451D"/>
    <w:rsid w:val="000A1EC1"/>
    <w:rsid w:val="000A3E43"/>
    <w:rsid w:val="000F7D60"/>
    <w:rsid w:val="00121453"/>
    <w:rsid w:val="00135306"/>
    <w:rsid w:val="0018683F"/>
    <w:rsid w:val="001D0286"/>
    <w:rsid w:val="001D7C69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D2E30"/>
    <w:rsid w:val="004F2C22"/>
    <w:rsid w:val="0051609D"/>
    <w:rsid w:val="005514E6"/>
    <w:rsid w:val="00572789"/>
    <w:rsid w:val="005763A3"/>
    <w:rsid w:val="005B241B"/>
    <w:rsid w:val="005B27D7"/>
    <w:rsid w:val="005D5A30"/>
    <w:rsid w:val="005E2A01"/>
    <w:rsid w:val="005E7B95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F09DA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32732-82EE-7B46-9475-A649DBF7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2020-02-08T01:23:00Z</dcterms:created>
  <dcterms:modified xsi:type="dcterms:W3CDTF">2020-02-26T02:21:00Z</dcterms:modified>
</cp:coreProperties>
</file>