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Admisión a la función Docente en Educación Inicial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Educación Inicial. Este instrumento tiene como objetivo principal valorar los conocimientos y aptitudes que se consideran necesarias para el ejercicio de la función Docente en Educación Inicial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Inicial.</w:t>
      </w:r>
    </w:p>
    <w:p w:rsidR="00000000" w:rsidDel="00000000" w:rsidP="00000000" w:rsidRDefault="00000000" w:rsidRPr="00000000" w14:paraId="00000067">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9">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rsidR="00000000" w:rsidDel="00000000" w:rsidP="00000000" w:rsidRDefault="00000000" w:rsidRPr="00000000" w14:paraId="0000006D">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Acreditación de estudios mínimos de licenciatura</w:t>
      </w:r>
    </w:p>
    <w:p w:rsidR="00000000" w:rsidDel="00000000" w:rsidP="00000000" w:rsidRDefault="00000000" w:rsidRPr="00000000" w14:paraId="0000006E">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Formación docente pedagógica (de acuerdo con las áreas del conocimiento)</w:t>
      </w:r>
      <w:r w:rsidDel="00000000" w:rsidR="00000000" w:rsidRPr="00000000">
        <w:rPr>
          <w:rtl w:val="0"/>
        </w:rPr>
      </w:r>
    </w:p>
    <w:p w:rsidR="00000000" w:rsidDel="00000000" w:rsidP="00000000" w:rsidRDefault="00000000" w:rsidRPr="00000000" w14:paraId="0000006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rsidR="00000000" w:rsidDel="00000000" w:rsidP="00000000" w:rsidRDefault="00000000" w:rsidRPr="00000000" w14:paraId="00000070">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1">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formación docente pedagógica</w:t>
      </w:r>
    </w:p>
    <w:p w:rsidR="00000000" w:rsidDel="00000000" w:rsidP="00000000" w:rsidRDefault="00000000" w:rsidRPr="00000000" w14:paraId="00000072">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acreditación de estudios mínimos de licenciatura</w:t>
      </w:r>
    </w:p>
    <w:p w:rsidR="00000000" w:rsidDel="00000000" w:rsidP="00000000" w:rsidRDefault="00000000" w:rsidRPr="00000000" w14:paraId="00000073">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promedio general de carrera</w:t>
      </w:r>
    </w:p>
    <w:p w:rsidR="00000000" w:rsidDel="00000000" w:rsidP="00000000" w:rsidRDefault="00000000" w:rsidRPr="00000000" w14:paraId="00000074">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cursos extracurriculares con reconocimiento de validez oficial</w:t>
      </w:r>
    </w:p>
    <w:p w:rsidR="00000000" w:rsidDel="00000000" w:rsidP="00000000" w:rsidRDefault="00000000" w:rsidRPr="00000000" w14:paraId="00000075">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programas de movilidad académica</w:t>
      </w:r>
    </w:p>
    <w:p w:rsidR="00000000" w:rsidDel="00000000" w:rsidP="00000000" w:rsidRDefault="00000000" w:rsidRPr="00000000" w14:paraId="00000076">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Dominios de una lengua distinta a la propia</w:t>
      </w:r>
    </w:p>
    <w:p w:rsidR="00000000" w:rsidDel="00000000" w:rsidP="00000000" w:rsidRDefault="00000000" w:rsidRPr="00000000" w14:paraId="00000077">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docente</w:t>
      </w:r>
    </w:p>
    <w:p w:rsidR="00000000" w:rsidDel="00000000" w:rsidP="00000000" w:rsidRDefault="00000000" w:rsidRPr="00000000" w14:paraId="00000078">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C">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D">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E">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F">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0">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1">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2">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3">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4">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Admisión a la función Docente en Educación Inicial, el SISAP plantea la aplicación del Instrumento de valoración de conocimientos y aptitudes docentes, en conjunto con el Examen de acreditación del curso de habilidades docentes para la Nueva Escuela Mexicana. </w:t>
      </w:r>
    </w:p>
    <w:p w:rsidR="00000000" w:rsidDel="00000000" w:rsidP="00000000" w:rsidRDefault="00000000" w:rsidRPr="00000000" w14:paraId="00000085">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7">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8">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Admisión a funciones Docentes en Educación Inicial,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8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9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9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9A">
      <w:pPr>
        <w:spacing w:line="360" w:lineRule="auto"/>
        <w:ind w:left="0"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B2">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B3">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B4">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B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B6">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B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plaza docente en educación inicial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B8">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educación inicial, que requiere de los participantes la cercanía con las necesidades de desarrollo motor, socio-afectivo e intelectual de los estudiantes (Núñez, Hernández &amp; Núñez, 2002; </w:t>
      </w:r>
      <w:r w:rsidDel="00000000" w:rsidR="00000000" w:rsidRPr="00000000">
        <w:rPr>
          <w:rFonts w:ascii="Arial" w:cs="Arial" w:eastAsia="Arial" w:hAnsi="Arial"/>
          <w:color w:val="222222"/>
          <w:sz w:val="24"/>
          <w:szCs w:val="24"/>
          <w:highlight w:val="white"/>
          <w:rtl w:val="0"/>
        </w:rPr>
        <w:t xml:space="preserve">Flores &amp; Martín, 2006; Sarlé, 2011; Morillo, Figueroa &amp; García, 2013; Pinto &amp; Misas, 2014; Pacheco, 2015)</w:t>
      </w: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6">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9">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A">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CB">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r w:rsidDel="00000000" w:rsidR="00000000" w:rsidRPr="00000000">
        <w:rPr>
          <w:rtl w:val="0"/>
        </w:rPr>
      </w:r>
    </w:p>
    <w:p w:rsidR="00000000" w:rsidDel="00000000" w:rsidP="00000000" w:rsidRDefault="00000000" w:rsidRPr="00000000" w14:paraId="000000CC">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D">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E">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CF">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D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D1">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D2">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D3">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D4">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5">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D6">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7">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Flores, C. A., &amp; Martín, M. (2006). El aprendizaje de la lectura y la escritura en Educación Inicial. </w:t>
      </w:r>
      <w:r w:rsidDel="00000000" w:rsidR="00000000" w:rsidRPr="00000000">
        <w:rPr>
          <w:rFonts w:ascii="Arial" w:cs="Arial" w:eastAsia="Arial" w:hAnsi="Arial"/>
          <w:i w:val="1"/>
          <w:color w:val="222222"/>
          <w:sz w:val="24"/>
          <w:szCs w:val="24"/>
          <w:highlight w:val="white"/>
          <w:rtl w:val="0"/>
        </w:rPr>
        <w:t xml:space="preserve">Sapiens. Revista Universitaria de Investigación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7</w:t>
      </w:r>
      <w:r w:rsidDel="00000000" w:rsidR="00000000" w:rsidRPr="00000000">
        <w:rPr>
          <w:rFonts w:ascii="Arial" w:cs="Arial" w:eastAsia="Arial" w:hAnsi="Arial"/>
          <w:color w:val="222222"/>
          <w:sz w:val="24"/>
          <w:szCs w:val="24"/>
          <w:highlight w:val="white"/>
          <w:rtl w:val="0"/>
        </w:rPr>
        <w:t xml:space="preserve">(1), 69-79.</w:t>
      </w:r>
    </w:p>
    <w:p w:rsidR="00000000" w:rsidDel="00000000" w:rsidP="00000000" w:rsidRDefault="00000000" w:rsidRPr="00000000" w14:paraId="000000D8">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D9">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DA">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DB">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C">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D">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E">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DF">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E0">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E1">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E2">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E3">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Morillo, M. T., Figueroa, N., &amp; García, M. (2013). Interdependencia del desarrollo cognitivo y afectivo. Aproximaciones desde la epistemología genética para la educación inicial. </w:t>
      </w:r>
      <w:r w:rsidDel="00000000" w:rsidR="00000000" w:rsidRPr="00000000">
        <w:rPr>
          <w:rFonts w:ascii="Arial" w:cs="Arial" w:eastAsia="Arial" w:hAnsi="Arial"/>
          <w:i w:val="1"/>
          <w:color w:val="222222"/>
          <w:sz w:val="24"/>
          <w:szCs w:val="24"/>
          <w:highlight w:val="white"/>
          <w:rtl w:val="0"/>
        </w:rPr>
        <w:t xml:space="preserve">Revista de pedagogía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34</w:t>
      </w:r>
      <w:r w:rsidDel="00000000" w:rsidR="00000000" w:rsidRPr="00000000">
        <w:rPr>
          <w:rFonts w:ascii="Arial" w:cs="Arial" w:eastAsia="Arial" w:hAnsi="Arial"/>
          <w:color w:val="222222"/>
          <w:sz w:val="24"/>
          <w:szCs w:val="24"/>
          <w:highlight w:val="white"/>
          <w:rtl w:val="0"/>
        </w:rPr>
        <w:t xml:space="preserve">(95-96), 59-87.</w:t>
      </w:r>
    </w:p>
    <w:p w:rsidR="00000000" w:rsidDel="00000000" w:rsidP="00000000" w:rsidRDefault="00000000" w:rsidRPr="00000000" w14:paraId="000000E4">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Pinto Rodríguez, M. M., &amp; Misas Avella, M. M. (2014). La educación inicial y la educación preescolar: perspectivas de desarrollo en Colombia y su importancia en la configuración del mundo de los niños.</w:t>
      </w:r>
    </w:p>
    <w:p w:rsidR="00000000" w:rsidDel="00000000" w:rsidP="00000000" w:rsidRDefault="00000000" w:rsidRPr="00000000" w14:paraId="000000E5">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E6">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Núñez, J. C., Hernández, A. P., &amp; Núñez, P. R. (2002). El niño entre cuatro y cinco años: características de su desarrollo socioemocional, psicomotriz y cognitivo linguístico. </w:t>
      </w:r>
      <w:r w:rsidDel="00000000" w:rsidR="00000000" w:rsidRPr="00000000">
        <w:rPr>
          <w:rFonts w:ascii="Arial" w:cs="Arial" w:eastAsia="Arial" w:hAnsi="Arial"/>
          <w:i w:val="1"/>
          <w:color w:val="222222"/>
          <w:sz w:val="24"/>
          <w:szCs w:val="24"/>
          <w:highlight w:val="white"/>
          <w:rtl w:val="0"/>
        </w:rPr>
        <w:t xml:space="preserve">Revista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26</w:t>
      </w:r>
      <w:r w:rsidDel="00000000" w:rsidR="00000000" w:rsidRPr="00000000">
        <w:rPr>
          <w:rFonts w:ascii="Arial" w:cs="Arial" w:eastAsia="Arial" w:hAnsi="Arial"/>
          <w:color w:val="222222"/>
          <w:sz w:val="24"/>
          <w:szCs w:val="24"/>
          <w:highlight w:val="white"/>
          <w:rtl w:val="0"/>
        </w:rPr>
        <w:t xml:space="preserve">(1), 169-182.</w:t>
      </w:r>
    </w:p>
    <w:p w:rsidR="00000000" w:rsidDel="00000000" w:rsidP="00000000" w:rsidRDefault="00000000" w:rsidRPr="00000000" w14:paraId="000000E7">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Pacheco, G. (2015). Psicomotricidad en educación inicial. </w:t>
      </w:r>
      <w:r w:rsidDel="00000000" w:rsidR="00000000" w:rsidRPr="00000000">
        <w:rPr>
          <w:rFonts w:ascii="Arial" w:cs="Arial" w:eastAsia="Arial" w:hAnsi="Arial"/>
          <w:i w:val="1"/>
          <w:color w:val="222222"/>
          <w:sz w:val="24"/>
          <w:szCs w:val="24"/>
          <w:highlight w:val="white"/>
          <w:rtl w:val="0"/>
        </w:rPr>
        <w:t xml:space="preserve">Algunas consideraciones conceptuales</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E8">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E9">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EA">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Sarlé, P. (2011). Juego y educación inicial.</w:t>
      </w:r>
    </w:p>
    <w:p w:rsidR="00000000" w:rsidDel="00000000" w:rsidP="00000000" w:rsidRDefault="00000000" w:rsidRPr="00000000" w14:paraId="000000EB">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EC">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ED">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E">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F">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F0">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v/LbyQO++KEFi1hTkFgTuwijKw==">AMUW2mVsB1bWsxV8DPL7u6GtpQd2fg0qJ9XF2QE0rQM6kA/cI8wWYXLtG/07gzWXgsV3SSX9R7UeITR7VpvRFo8Z5lZUNY4Qmvskivw/ZB2+XAxbmwkhwNgTmP9QT0oGTEV/PkG5meEeY4/u0ATpQbfEUC/wY0CTqn4vwvJ2HeZ1fmIHLN5BrAo=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