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 como parte del Proceso de Selección para la Admisión a la función Docente en Educación Secundaria</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E">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C">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2">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Docente en Educación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rsidR="00000000" w:rsidDel="00000000" w:rsidP="00000000" w:rsidRDefault="00000000" w:rsidRPr="00000000" w14:paraId="00000067">
      <w:pPr>
        <w:spacing w:line="360" w:lineRule="auto"/>
        <w:ind w:left="425.19685039370086" w:right="563.740157480316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A">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B">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D">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E">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rsidR="00000000" w:rsidDel="00000000" w:rsidP="00000000" w:rsidRDefault="00000000" w:rsidRPr="00000000" w14:paraId="0000006F">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Acreditación de estudios mínimos de licenciatura</w:t>
      </w:r>
    </w:p>
    <w:p w:rsidR="00000000" w:rsidDel="00000000" w:rsidP="00000000" w:rsidRDefault="00000000" w:rsidRPr="00000000" w14:paraId="00000070">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Formación docente pedagógica (de acuerdo con las áreas del conocimiento)</w:t>
      </w:r>
      <w:r w:rsidDel="00000000" w:rsidR="00000000" w:rsidRPr="00000000">
        <w:rPr>
          <w:rtl w:val="0"/>
        </w:rPr>
      </w:r>
    </w:p>
    <w:p w:rsidR="00000000" w:rsidDel="00000000" w:rsidP="00000000" w:rsidRDefault="00000000" w:rsidRPr="00000000" w14:paraId="0000007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rsidR="00000000" w:rsidDel="00000000" w:rsidP="00000000" w:rsidRDefault="00000000" w:rsidRPr="00000000" w14:paraId="00000072">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3">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formación docente pedagógica</w:t>
      </w:r>
    </w:p>
    <w:p w:rsidR="00000000" w:rsidDel="00000000" w:rsidP="00000000" w:rsidRDefault="00000000" w:rsidRPr="00000000" w14:paraId="00000074">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acreditación de estudios mínimos de licenciatura</w:t>
      </w:r>
    </w:p>
    <w:p w:rsidR="00000000" w:rsidDel="00000000" w:rsidP="00000000" w:rsidRDefault="00000000" w:rsidRPr="00000000" w14:paraId="00000075">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promedio general de carrera</w:t>
      </w:r>
    </w:p>
    <w:p w:rsidR="00000000" w:rsidDel="00000000" w:rsidP="00000000" w:rsidRDefault="00000000" w:rsidRPr="00000000" w14:paraId="00000076">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cursos extracurriculares con reconocimiento de validez oficial</w:t>
      </w:r>
    </w:p>
    <w:p w:rsidR="00000000" w:rsidDel="00000000" w:rsidP="00000000" w:rsidRDefault="00000000" w:rsidRPr="00000000" w14:paraId="00000077">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programas de movilidad académica</w:t>
      </w:r>
    </w:p>
    <w:p w:rsidR="00000000" w:rsidDel="00000000" w:rsidP="00000000" w:rsidRDefault="00000000" w:rsidRPr="00000000" w14:paraId="00000078">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Dominios de una lengua distinta a la propia</w:t>
      </w:r>
    </w:p>
    <w:p w:rsidR="00000000" w:rsidDel="00000000" w:rsidP="00000000" w:rsidRDefault="00000000" w:rsidRPr="00000000" w14:paraId="00000079">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docente</w:t>
      </w:r>
    </w:p>
    <w:p w:rsidR="00000000" w:rsidDel="00000000" w:rsidP="00000000" w:rsidRDefault="00000000" w:rsidRPr="00000000" w14:paraId="0000007A">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C">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w:t>
      </w:r>
      <w:r w:rsidDel="00000000" w:rsidR="00000000" w:rsidRPr="00000000">
        <w:rPr>
          <w:rFonts w:ascii="Arial" w:cs="Arial" w:eastAsia="Arial" w:hAnsi="Arial"/>
          <w:sz w:val="24"/>
          <w:szCs w:val="24"/>
          <w:rtl w:val="0"/>
        </w:rPr>
        <w:t xml:space="preserve">minan los procesos de selección.</w:t>
      </w:r>
    </w:p>
    <w:p w:rsidR="00000000" w:rsidDel="00000000" w:rsidP="00000000" w:rsidRDefault="00000000" w:rsidRPr="00000000" w14:paraId="0000007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E">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w:t>
      </w:r>
      <w:r w:rsidDel="00000000" w:rsidR="00000000" w:rsidRPr="00000000">
        <w:rPr>
          <w:rFonts w:ascii="Arial" w:cs="Arial" w:eastAsia="Arial" w:hAnsi="Arial"/>
          <w:sz w:val="24"/>
          <w:szCs w:val="24"/>
          <w:rtl w:val="0"/>
        </w:rPr>
        <w:t xml:space="preserve">ente a los lineamientos definidos para su operación y su sustento normativo se encuentra al alcance de la población.</w:t>
      </w:r>
    </w:p>
    <w:p w:rsidR="00000000" w:rsidDel="00000000" w:rsidP="00000000" w:rsidRDefault="00000000" w:rsidRPr="00000000" w14:paraId="0000007F">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80">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1">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2">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3">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4">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5">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6">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Admisión a la función Docente en Educación Secundaria, el SISAP plantea la aplicación del Instrumento de valoración de conocimientos y aptitudes docentes, en conjunto con el Examen de acreditación del curso de habilidades docentes para la Nueva Escuela Mexicana. </w:t>
      </w:r>
    </w:p>
    <w:p w:rsidR="00000000" w:rsidDel="00000000" w:rsidP="00000000" w:rsidRDefault="00000000" w:rsidRPr="00000000" w14:paraId="00000087">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9">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A">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Admisión a funciones Docentes en Educación Secundaria,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8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w:t>
      </w:r>
    </w:p>
    <w:p w:rsidR="00000000" w:rsidDel="00000000" w:rsidP="00000000" w:rsidRDefault="00000000" w:rsidRPr="00000000" w14:paraId="0000008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niñas, niños y adolescentes para su desarrollo integral y bienestar, a la vez que es un medio para la transformación y mejoramiento social del país.</w:t>
      </w:r>
    </w:p>
    <w:p w:rsidR="00000000" w:rsidDel="00000000" w:rsidP="00000000" w:rsidRDefault="00000000" w:rsidRPr="00000000" w14:paraId="0000008D">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sus alumnos para brindarles una atención educativa con inclusión, equidad y excelencia. </w:t>
      </w:r>
    </w:p>
    <w:p w:rsidR="00000000" w:rsidDel="00000000" w:rsidP="00000000" w:rsidRDefault="00000000" w:rsidRPr="00000000" w14:paraId="0000009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sus alumnos para desarrollar su quehacer docente de forma pertinente y contextualizada.</w:t>
      </w:r>
    </w:p>
    <w:p w:rsidR="00000000" w:rsidDel="00000000" w:rsidP="00000000" w:rsidRDefault="00000000" w:rsidRPr="00000000" w14:paraId="0000009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atención educativa equitativa e incluyente.</w:t>
      </w:r>
    </w:p>
    <w:p w:rsidR="00000000" w:rsidDel="00000000" w:rsidP="00000000" w:rsidRDefault="00000000" w:rsidRPr="00000000" w14:paraId="0000009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9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sus alumnos.</w:t>
      </w:r>
    </w:p>
    <w:p w:rsidR="00000000" w:rsidDel="00000000" w:rsidP="00000000" w:rsidRDefault="00000000" w:rsidRPr="00000000" w14:paraId="0000009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escolar de modo que favorece el aprendizaje, la participación y el bienestar de todos los alumnos.</w:t>
      </w:r>
    </w:p>
    <w:p w:rsidR="00000000" w:rsidDel="00000000" w:rsidP="00000000" w:rsidRDefault="00000000" w:rsidRPr="00000000" w14:paraId="0000009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de manera permanente el desempeño de los alumnos, a través de diversas estrategias para valorar los aprendizajes y su intervención docente.</w:t>
      </w:r>
    </w:p>
    <w:p w:rsidR="00000000" w:rsidDel="00000000" w:rsidP="00000000" w:rsidRDefault="00000000" w:rsidRPr="00000000" w14:paraId="00000098">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9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9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w:t>
      </w:r>
    </w:p>
    <w:p w:rsidR="00000000" w:rsidDel="00000000" w:rsidP="00000000" w:rsidRDefault="00000000" w:rsidRPr="00000000" w14:paraId="0000009C">
      <w:pPr>
        <w:spacing w:line="360" w:lineRule="auto"/>
        <w:ind w:left="0" w:right="138.54330708661507"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AD">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AE">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AF">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B0">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B1">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B2">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rsidR="00000000" w:rsidDel="00000000" w:rsidP="00000000" w:rsidRDefault="00000000" w:rsidRPr="00000000" w14:paraId="000000B3">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docente en educación secundaria, que requiere de los participantes el estar en contacto con los procesos de 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que le permitan acercar a los estudiantes al manejo y apropiación de los contenidos curriculares, (Rico, 1997; Ayuso &amp; Hernández, 2002; Tedesco &amp; López, 2002; Batanero, 2005) </w:t>
      </w:r>
      <w:r w:rsidDel="00000000" w:rsidR="00000000" w:rsidRPr="00000000">
        <w:rPr>
          <w:rtl w:val="0"/>
        </w:rPr>
      </w:r>
    </w:p>
    <w:p w:rsidR="00000000" w:rsidDel="00000000" w:rsidP="00000000" w:rsidRDefault="00000000" w:rsidRPr="00000000" w14:paraId="000000B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6">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7">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F">
      <w:pPr>
        <w:spacing w:line="276" w:lineRule="auto"/>
        <w:ind w:left="425.19685039370086"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0">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C1">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C2">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Ayuso, G. E., &amp; Hernández, E. B. (2002). Alternativas a la enseñanza de la genética en educación secundaria. </w:t>
      </w:r>
      <w:r w:rsidDel="00000000" w:rsidR="00000000" w:rsidRPr="00000000">
        <w:rPr>
          <w:rFonts w:ascii="Arial" w:cs="Arial" w:eastAsia="Arial" w:hAnsi="Arial"/>
          <w:i w:val="1"/>
          <w:color w:val="222222"/>
          <w:sz w:val="24"/>
          <w:szCs w:val="24"/>
          <w:highlight w:val="white"/>
          <w:rtl w:val="0"/>
        </w:rPr>
        <w:t xml:space="preserve">Enseñanza de las ciencias: revista de investigación y experiencias didácticas</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20</w:t>
      </w:r>
      <w:r w:rsidDel="00000000" w:rsidR="00000000" w:rsidRPr="00000000">
        <w:rPr>
          <w:rFonts w:ascii="Arial" w:cs="Arial" w:eastAsia="Arial" w:hAnsi="Arial"/>
          <w:color w:val="222222"/>
          <w:sz w:val="24"/>
          <w:szCs w:val="24"/>
          <w:highlight w:val="white"/>
          <w:rtl w:val="0"/>
        </w:rPr>
        <w:t xml:space="preserve">(1), 133-157.</w:t>
      </w:r>
      <w:r w:rsidDel="00000000" w:rsidR="00000000" w:rsidRPr="00000000">
        <w:rPr>
          <w:rtl w:val="0"/>
        </w:rPr>
      </w:r>
    </w:p>
    <w:p w:rsidR="00000000" w:rsidDel="00000000" w:rsidP="00000000" w:rsidRDefault="00000000" w:rsidRPr="00000000" w14:paraId="000000C3">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Batanero, C. (2005). Significados de la probabilidad en la educación secundaria. </w:t>
      </w:r>
      <w:r w:rsidDel="00000000" w:rsidR="00000000" w:rsidRPr="00000000">
        <w:rPr>
          <w:rFonts w:ascii="Arial" w:cs="Arial" w:eastAsia="Arial" w:hAnsi="Arial"/>
          <w:i w:val="1"/>
          <w:color w:val="222222"/>
          <w:sz w:val="24"/>
          <w:szCs w:val="24"/>
          <w:highlight w:val="white"/>
          <w:rtl w:val="0"/>
        </w:rPr>
        <w:t xml:space="preserve">Revista Latinoamericana de Investigación en Matemática Educativa, RELIME</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8</w:t>
      </w:r>
      <w:r w:rsidDel="00000000" w:rsidR="00000000" w:rsidRPr="00000000">
        <w:rPr>
          <w:rFonts w:ascii="Arial" w:cs="Arial" w:eastAsia="Arial" w:hAnsi="Arial"/>
          <w:color w:val="222222"/>
          <w:sz w:val="24"/>
          <w:szCs w:val="24"/>
          <w:highlight w:val="white"/>
          <w:rtl w:val="0"/>
        </w:rPr>
        <w:t xml:space="preserve">(3), 247-263.</w:t>
      </w:r>
      <w:r w:rsidDel="00000000" w:rsidR="00000000" w:rsidRPr="00000000">
        <w:rPr>
          <w:rtl w:val="0"/>
        </w:rPr>
      </w:r>
    </w:p>
    <w:p w:rsidR="00000000" w:rsidDel="00000000" w:rsidP="00000000" w:rsidRDefault="00000000" w:rsidRPr="00000000" w14:paraId="000000C4">
      <w:pPr>
        <w:widowControl w:val="0"/>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C5">
      <w:pPr>
        <w:widowControl w:val="0"/>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Cavero, M. Á. B., &amp; Angel, M. (2006). Motivación y rendimiento académico en alumnos de Educación Secundaria Obligatoria y Bachillerato LOGSE.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340</w:t>
      </w:r>
      <w:r w:rsidDel="00000000" w:rsidR="00000000" w:rsidRPr="00000000">
        <w:rPr>
          <w:rFonts w:ascii="Arial" w:cs="Arial" w:eastAsia="Arial" w:hAnsi="Arial"/>
          <w:color w:val="222222"/>
          <w:sz w:val="24"/>
          <w:szCs w:val="24"/>
          <w:highlight w:val="white"/>
          <w:rtl w:val="0"/>
        </w:rPr>
        <w:t xml:space="preserve">, 379-414.</w:t>
      </w:r>
    </w:p>
    <w:p w:rsidR="00000000" w:rsidDel="00000000" w:rsidP="00000000" w:rsidRDefault="00000000" w:rsidRPr="00000000" w14:paraId="000000C6">
      <w:pPr>
        <w:widowControl w:val="0"/>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C7">
      <w:pPr>
        <w:widowControl w:val="0"/>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C8">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Costa, J. L. C., &amp; Martínez, L. N. (2011). </w:t>
      </w:r>
      <w:r w:rsidDel="00000000" w:rsidR="00000000" w:rsidRPr="00000000">
        <w:rPr>
          <w:rFonts w:ascii="Arial" w:cs="Arial" w:eastAsia="Arial" w:hAnsi="Arial"/>
          <w:i w:val="1"/>
          <w:color w:val="222222"/>
          <w:sz w:val="24"/>
          <w:szCs w:val="24"/>
          <w:highlight w:val="white"/>
          <w:rtl w:val="0"/>
        </w:rPr>
        <w:t xml:space="preserve">Aprendizaje, desarrollo y disfunciones. Implicaciones para la enseñanza en la Educación Secundaria</w:t>
      </w:r>
      <w:r w:rsidDel="00000000" w:rsidR="00000000" w:rsidRPr="00000000">
        <w:rPr>
          <w:rFonts w:ascii="Arial" w:cs="Arial" w:eastAsia="Arial" w:hAnsi="Arial"/>
          <w:color w:val="222222"/>
          <w:sz w:val="24"/>
          <w:szCs w:val="24"/>
          <w:highlight w:val="white"/>
          <w:rtl w:val="0"/>
        </w:rPr>
        <w:t xml:space="preserve">. Editorial Club Universitario.</w:t>
      </w:r>
    </w:p>
    <w:p w:rsidR="00000000" w:rsidDel="00000000" w:rsidP="00000000" w:rsidRDefault="00000000" w:rsidRPr="00000000" w14:paraId="000000C9">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CA">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CB">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CC">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D">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A. L. (2003). Factores personales, familiares y académicos que afectan al fracaso escolar en la Educación Secundaria. </w:t>
      </w:r>
      <w:r w:rsidDel="00000000" w:rsidR="00000000" w:rsidRPr="00000000">
        <w:rPr>
          <w:rFonts w:ascii="Arial" w:cs="Arial" w:eastAsia="Arial" w:hAnsi="Arial"/>
          <w:i w:val="1"/>
          <w:color w:val="222222"/>
          <w:sz w:val="24"/>
          <w:szCs w:val="24"/>
          <w:highlight w:val="white"/>
          <w:rtl w:val="0"/>
        </w:rPr>
        <w:t xml:space="preserve">Electronic journal of research in educational psychology</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w:t>
      </w:r>
      <w:r w:rsidDel="00000000" w:rsidR="00000000" w:rsidRPr="00000000">
        <w:rPr>
          <w:rFonts w:ascii="Arial" w:cs="Arial" w:eastAsia="Arial" w:hAnsi="Arial"/>
          <w:color w:val="222222"/>
          <w:sz w:val="24"/>
          <w:szCs w:val="24"/>
          <w:highlight w:val="white"/>
          <w:rtl w:val="0"/>
        </w:rPr>
        <w:t xml:space="preserve">(1), 43-66.</w:t>
      </w:r>
      <w:r w:rsidDel="00000000" w:rsidR="00000000" w:rsidRPr="00000000">
        <w:rPr>
          <w:rtl w:val="0"/>
        </w:rPr>
      </w:r>
    </w:p>
    <w:p w:rsidR="00000000" w:rsidDel="00000000" w:rsidP="00000000" w:rsidRDefault="00000000" w:rsidRPr="00000000" w14:paraId="000000CE">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CF">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D0">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1">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D2">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3">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D4">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D5">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D6">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D7">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D8">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D9">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DA">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DB">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DC">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r w:rsidDel="00000000" w:rsidR="00000000" w:rsidRPr="00000000">
        <w:rPr>
          <w:rtl w:val="0"/>
        </w:rPr>
      </w:r>
    </w:p>
    <w:p w:rsidR="00000000" w:rsidDel="00000000" w:rsidP="00000000" w:rsidRDefault="00000000" w:rsidRPr="00000000" w14:paraId="000000DD">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DE">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r w:rsidDel="00000000" w:rsidR="00000000" w:rsidRPr="00000000">
        <w:rPr>
          <w:rtl w:val="0"/>
        </w:rPr>
      </w:r>
    </w:p>
    <w:p w:rsidR="00000000" w:rsidDel="00000000" w:rsidP="00000000" w:rsidRDefault="00000000" w:rsidRPr="00000000" w14:paraId="000000DF">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E0">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E1">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Rico, L. (1997). Consideraciones sobre el currículo de matemáticas para educación secundaria.</w:t>
      </w:r>
    </w:p>
    <w:p w:rsidR="00000000" w:rsidDel="00000000" w:rsidP="00000000" w:rsidRDefault="00000000" w:rsidRPr="00000000" w14:paraId="000000E2">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Ruiz, R. O., Aguayo, J. E., Font, C. M., Municio, J. I. P., Majós, T. M., Goñi, J. O., ... &amp; Rocamora, A. E. (2010). </w:t>
      </w:r>
      <w:r w:rsidDel="00000000" w:rsidR="00000000" w:rsidRPr="00000000">
        <w:rPr>
          <w:rFonts w:ascii="Arial" w:cs="Arial" w:eastAsia="Arial" w:hAnsi="Arial"/>
          <w:i w:val="1"/>
          <w:color w:val="222222"/>
          <w:sz w:val="24"/>
          <w:szCs w:val="24"/>
          <w:highlight w:val="white"/>
          <w:rtl w:val="0"/>
        </w:rPr>
        <w:t xml:space="preserve">Desarrollo, aprendizaje y enseñanza en la educación secundaria</w:t>
      </w:r>
      <w:r w:rsidDel="00000000" w:rsidR="00000000" w:rsidRPr="00000000">
        <w:rPr>
          <w:rFonts w:ascii="Arial" w:cs="Arial" w:eastAsia="Arial" w:hAnsi="Arial"/>
          <w:color w:val="222222"/>
          <w:sz w:val="24"/>
          <w:szCs w:val="24"/>
          <w:highlight w:val="white"/>
          <w:rtl w:val="0"/>
        </w:rPr>
        <w:t xml:space="preserve"> (Vol. 11). Grao.</w:t>
      </w:r>
    </w:p>
    <w:p w:rsidR="00000000" w:rsidDel="00000000" w:rsidP="00000000" w:rsidRDefault="00000000" w:rsidRPr="00000000" w14:paraId="000000E3">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Rusillo, M. T. C., &amp; Arias, P. F. C. (2004). Diferencias de género en la motivación académica de los alumnos de Educación Secundaria Obligatoria. </w:t>
      </w:r>
      <w:r w:rsidDel="00000000" w:rsidR="00000000" w:rsidRPr="00000000">
        <w:rPr>
          <w:rFonts w:ascii="Arial" w:cs="Arial" w:eastAsia="Arial" w:hAnsi="Arial"/>
          <w:i w:val="1"/>
          <w:color w:val="222222"/>
          <w:sz w:val="24"/>
          <w:szCs w:val="24"/>
          <w:highlight w:val="white"/>
          <w:rtl w:val="0"/>
        </w:rPr>
        <w:t xml:space="preserve">Electronic journal of research in educational psychology</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2</w:t>
      </w:r>
      <w:r w:rsidDel="00000000" w:rsidR="00000000" w:rsidRPr="00000000">
        <w:rPr>
          <w:rFonts w:ascii="Arial" w:cs="Arial" w:eastAsia="Arial" w:hAnsi="Arial"/>
          <w:color w:val="222222"/>
          <w:sz w:val="24"/>
          <w:szCs w:val="24"/>
          <w:highlight w:val="white"/>
          <w:rtl w:val="0"/>
        </w:rPr>
        <w:t xml:space="preserve">(1), 97-112.</w:t>
      </w:r>
    </w:p>
    <w:p w:rsidR="00000000" w:rsidDel="00000000" w:rsidP="00000000" w:rsidRDefault="00000000" w:rsidRPr="00000000" w14:paraId="000000E4">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E5">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E6">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Tedesco, J. C., &amp; López, N. (2002). Desafíos a la educación secundaria en América Latina. </w:t>
      </w:r>
      <w:r w:rsidDel="00000000" w:rsidR="00000000" w:rsidRPr="00000000">
        <w:rPr>
          <w:rFonts w:ascii="Arial" w:cs="Arial" w:eastAsia="Arial" w:hAnsi="Arial"/>
          <w:i w:val="1"/>
          <w:color w:val="222222"/>
          <w:sz w:val="24"/>
          <w:szCs w:val="24"/>
          <w:highlight w:val="white"/>
          <w:rtl w:val="0"/>
        </w:rPr>
        <w:t xml:space="preserve">Revista de la CEPAL</w:t>
      </w:r>
      <w:r w:rsidDel="00000000" w:rsidR="00000000" w:rsidRPr="00000000">
        <w:rPr>
          <w:rFonts w:ascii="Arial" w:cs="Arial" w:eastAsia="Arial" w:hAnsi="Arial"/>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E7">
      <w:pPr>
        <w:spacing w:after="0" w:line="360" w:lineRule="auto"/>
        <w:ind w:left="0" w:right="138.54330708661507"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E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D">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E">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F">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5">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6">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7">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F8">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0bFko4ibHOwylliiRMBcNyBJtA==">AMUW2mXXZrLAZsA+ItLsG0Liq7UOEwVl2XkoIUZwTLkZFo8zol+T95yr677ZWtOfAYhLUvAJr/aQMM9zUDaKQCzpgXoBz6dPqKa6c2Z66/UpcZDLnT9i5dOFHiohyV5mlcystk6Xc6VzC9TZAltTuvsfVMhEYsfSfpy+ysk0Y50GPmfIdZz7JQA=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