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docentes como parte del Proceso de Selección para la Admisión a la función Docente en Secundaria Tecnológica</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20">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1">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7">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9">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A">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B">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D">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2F">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4">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5">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6">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7">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B">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C">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D">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E">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5F">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0">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1">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2">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Admisión, en el que participan los aspirantes a obtener una plaza Docente en Secundaria Tecnológica. Este instrumento tiene como objetivo principal valorar los conocimientos y aptitudes que se consideran necesarias para el ejercicio de la función Docente en Secundaria Tecnológica en los aspirantes a ser seleccionados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5">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Secundaria Tecnológica.</w:t>
      </w:r>
    </w:p>
    <w:p w:rsidR="00000000" w:rsidDel="00000000" w:rsidP="00000000" w:rsidRDefault="00000000" w:rsidRPr="00000000" w14:paraId="00000066">
      <w:pPr>
        <w:spacing w:line="360" w:lineRule="auto"/>
        <w:ind w:left="425.19685039370086" w:right="563.7401574803164"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8">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B">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(DOF, 2019). En el caso particular del proceso de selección para la Admisión, se consideran los siguientes requisitos: </w:t>
      </w:r>
    </w:p>
    <w:p w:rsidR="00000000" w:rsidDel="00000000" w:rsidP="00000000" w:rsidRDefault="00000000" w:rsidRPr="00000000" w14:paraId="0000006C">
      <w:pPr>
        <w:numPr>
          <w:ilvl w:val="0"/>
          <w:numId w:val="2"/>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Acreditación de estudios mínimos de licenciatura</w:t>
      </w:r>
    </w:p>
    <w:p w:rsidR="00000000" w:rsidDel="00000000" w:rsidP="00000000" w:rsidRDefault="00000000" w:rsidRPr="00000000" w14:paraId="0000006D">
      <w:pPr>
        <w:numPr>
          <w:ilvl w:val="0"/>
          <w:numId w:val="2"/>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Formación docente pedagógica (de acuerdo con las áreas del conocimiento)</w:t>
      </w:r>
      <w:r w:rsidDel="00000000" w:rsidR="00000000" w:rsidRPr="00000000">
        <w:rPr>
          <w:rtl w:val="0"/>
        </w:rPr>
      </w:r>
    </w:p>
    <w:p w:rsidR="00000000" w:rsidDel="00000000" w:rsidP="00000000" w:rsidRDefault="00000000" w:rsidRPr="00000000" w14:paraId="0000006E">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Admisión (DOF, 2019), se contemplan los siguientes multifactores:</w:t>
      </w:r>
    </w:p>
    <w:p w:rsidR="00000000" w:rsidDel="00000000" w:rsidP="00000000" w:rsidRDefault="00000000" w:rsidRPr="00000000" w14:paraId="0000006F">
      <w:pPr>
        <w:numPr>
          <w:ilvl w:val="0"/>
          <w:numId w:val="3"/>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del SISAP</w:t>
      </w:r>
    </w:p>
    <w:p w:rsidR="00000000" w:rsidDel="00000000" w:rsidP="00000000" w:rsidRDefault="00000000" w:rsidRPr="00000000" w14:paraId="00000070">
      <w:pPr>
        <w:numPr>
          <w:ilvl w:val="0"/>
          <w:numId w:val="3"/>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formación docente pedagógica</w:t>
      </w:r>
    </w:p>
    <w:p w:rsidR="00000000" w:rsidDel="00000000" w:rsidP="00000000" w:rsidRDefault="00000000" w:rsidRPr="00000000" w14:paraId="00000071">
      <w:pPr>
        <w:numPr>
          <w:ilvl w:val="0"/>
          <w:numId w:val="3"/>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acreditación de estudios mínimos de licenciatura</w:t>
      </w:r>
    </w:p>
    <w:p w:rsidR="00000000" w:rsidDel="00000000" w:rsidP="00000000" w:rsidRDefault="00000000" w:rsidRPr="00000000" w14:paraId="00000072">
      <w:pPr>
        <w:numPr>
          <w:ilvl w:val="0"/>
          <w:numId w:val="3"/>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promedio general de carrera</w:t>
      </w:r>
    </w:p>
    <w:p w:rsidR="00000000" w:rsidDel="00000000" w:rsidP="00000000" w:rsidRDefault="00000000" w:rsidRPr="00000000" w14:paraId="00000073">
      <w:pPr>
        <w:numPr>
          <w:ilvl w:val="0"/>
          <w:numId w:val="3"/>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cursos extracurriculares con reconocimiento de validez oficial</w:t>
      </w:r>
    </w:p>
    <w:p w:rsidR="00000000" w:rsidDel="00000000" w:rsidP="00000000" w:rsidRDefault="00000000" w:rsidRPr="00000000" w14:paraId="00000074">
      <w:pPr>
        <w:numPr>
          <w:ilvl w:val="0"/>
          <w:numId w:val="3"/>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programas de movilidad académica</w:t>
      </w:r>
    </w:p>
    <w:p w:rsidR="00000000" w:rsidDel="00000000" w:rsidP="00000000" w:rsidRDefault="00000000" w:rsidRPr="00000000" w14:paraId="00000075">
      <w:pPr>
        <w:numPr>
          <w:ilvl w:val="0"/>
          <w:numId w:val="3"/>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Dominios de una lengua distinta a la propia</w:t>
      </w:r>
    </w:p>
    <w:p w:rsidR="00000000" w:rsidDel="00000000" w:rsidP="00000000" w:rsidRDefault="00000000" w:rsidRPr="00000000" w14:paraId="00000076">
      <w:pPr>
        <w:numPr>
          <w:ilvl w:val="0"/>
          <w:numId w:val="3"/>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experiencia docente</w:t>
      </w:r>
    </w:p>
    <w:p w:rsidR="00000000" w:rsidDel="00000000" w:rsidP="00000000" w:rsidRDefault="00000000" w:rsidRPr="00000000" w14:paraId="00000077">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79">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A">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B">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C">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D">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E">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7F">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80">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81">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82">
      <w:pPr>
        <w:numPr>
          <w:ilvl w:val="0"/>
          <w:numId w:val="4"/>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83">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Admisión a la función Docente en Secundaria Tecnológica, el SISAP plantea la aplicación del Instrumento de valoración de conocimientos y aptitudes docentes, en conjunto con el Examen de acreditación del curso de habilidades docentes para la Nueva Escuela Mexicana. </w:t>
      </w:r>
    </w:p>
    <w:p w:rsidR="00000000" w:rsidDel="00000000" w:rsidP="00000000" w:rsidRDefault="00000000" w:rsidRPr="00000000" w14:paraId="00000084">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86">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87">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docentes aplicado como parte del proceso de selección para la Admisión a funciones Docentes en Secundaria Tecnológica,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88">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quehacer profesional con apego a los principios filosóficos, éticos y legales de la educación mexicana.</w:t>
      </w:r>
    </w:p>
    <w:p w:rsidR="00000000" w:rsidDel="00000000" w:rsidP="00000000" w:rsidRDefault="00000000" w:rsidRPr="00000000" w14:paraId="0000008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su quehacer docente el valor de la educación como un derecho de niñas, niños y adolescentes para su desarrollo integral y bienestar, a la vez que es un medio para la transformación y mejoramiento social del país.</w:t>
      </w:r>
    </w:p>
    <w:p w:rsidR="00000000" w:rsidDel="00000000" w:rsidP="00000000" w:rsidRDefault="00000000" w:rsidRPr="00000000" w14:paraId="0000008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Realiza su quehacer docente considerando que la interculturalidad favorece la convivencia armónica basada en el respeto y aprecio a la diversidad en todas sus expresiones.</w:t>
      </w:r>
    </w:p>
    <w:p w:rsidR="00000000" w:rsidDel="00000000" w:rsidP="00000000" w:rsidRDefault="00000000" w:rsidRPr="00000000" w14:paraId="0000008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ejercicio docente y contribuir a la mejora educativa.</w:t>
      </w:r>
    </w:p>
    <w:p w:rsidR="00000000" w:rsidDel="00000000" w:rsidP="00000000" w:rsidRDefault="00000000" w:rsidRPr="00000000" w14:paraId="0000008C">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Conoce a sus alumnos para brindarles una atención educativa con inclusión, equidad y excelencia. </w:t>
      </w:r>
    </w:p>
    <w:p w:rsidR="00000000" w:rsidDel="00000000" w:rsidP="00000000" w:rsidRDefault="00000000" w:rsidRPr="00000000" w14:paraId="0000008D">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a sus alumnos para desarrollar su quehacer docente de forma pertinente y contextualizada.</w:t>
      </w:r>
    </w:p>
    <w:p w:rsidR="00000000" w:rsidDel="00000000" w:rsidP="00000000" w:rsidRDefault="00000000" w:rsidRPr="00000000" w14:paraId="0000008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Desarrolla estrategias que le permiten conocer a sus alumnos y brindarles una atención educativa equitativa e incluyente.</w:t>
      </w:r>
    </w:p>
    <w:p w:rsidR="00000000" w:rsidDel="00000000" w:rsidP="00000000" w:rsidRDefault="00000000" w:rsidRPr="00000000" w14:paraId="0000008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Propicia la participación de todos los alumnos y su aprendizaje más allá del aula y la escuela.</w:t>
      </w:r>
    </w:p>
    <w:p w:rsidR="00000000" w:rsidDel="00000000" w:rsidP="00000000" w:rsidRDefault="00000000" w:rsidRPr="00000000" w14:paraId="00000090">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Genera ambientes favorables para el aprendizaje y la participación de todas las niñas, los niños o los adolescentes.</w:t>
      </w:r>
    </w:p>
    <w:p w:rsidR="00000000" w:rsidDel="00000000" w:rsidP="00000000" w:rsidRDefault="00000000" w:rsidRPr="00000000" w14:paraId="00000091">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Prepara el trabajo pedagógico para lograr que todos los alumnos aprendan.</w:t>
      </w:r>
    </w:p>
    <w:p w:rsidR="00000000" w:rsidDel="00000000" w:rsidP="00000000" w:rsidRDefault="00000000" w:rsidRPr="00000000" w14:paraId="00000092">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Utiliza un repertorio amplio y diverso de estrategias, actividades y materiales didácticos acordes con las capacidades y necesidades de aprendizaje de sus alumnos.</w:t>
      </w:r>
    </w:p>
    <w:p w:rsidR="00000000" w:rsidDel="00000000" w:rsidP="00000000" w:rsidRDefault="00000000" w:rsidRPr="00000000" w14:paraId="00000093">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el trabajo pedagógico con el grupo escolar de modo que favorece el aprendizaje, la participación y el bienestar de todos los alumnos.</w:t>
      </w:r>
    </w:p>
    <w:p w:rsidR="00000000" w:rsidDel="00000000" w:rsidP="00000000" w:rsidRDefault="00000000" w:rsidRPr="00000000" w14:paraId="0000009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Evalúa de manera permanente el desempeño de los alumnos, a través de diversas estrategias para valorar los aprendizajes y su intervención docente.</w:t>
      </w:r>
    </w:p>
    <w:p w:rsidR="00000000" w:rsidDel="00000000" w:rsidP="00000000" w:rsidRDefault="00000000" w:rsidRPr="00000000" w14:paraId="00000095">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Participa y colabora en la transformación y mejora de la escuela y la comunidad</w:t>
      </w:r>
    </w:p>
    <w:p w:rsidR="00000000" w:rsidDel="00000000" w:rsidP="00000000" w:rsidRDefault="00000000" w:rsidRPr="00000000" w14:paraId="00000096">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Participa en el trabajo de la escuela para el logro de los propósitos educativos.</w:t>
      </w:r>
    </w:p>
    <w:p w:rsidR="00000000" w:rsidDel="00000000" w:rsidP="00000000" w:rsidRDefault="00000000" w:rsidRPr="00000000" w14:paraId="00000097">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Contribuye en la construcción de una escuela que tiene una cultura de colaboración orientada hacia el aprendizaje entre pares y la mejora de la práctica docente.</w:t>
      </w:r>
    </w:p>
    <w:p w:rsidR="00000000" w:rsidDel="00000000" w:rsidP="00000000" w:rsidRDefault="00000000" w:rsidRPr="00000000" w14:paraId="0000009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Involucra a las familias de sus alumnos y a la comunidad en la tarea educativa de la escuela.</w:t>
      </w:r>
    </w:p>
    <w:p w:rsidR="00000000" w:rsidDel="00000000" w:rsidP="00000000" w:rsidRDefault="00000000" w:rsidRPr="00000000" w14:paraId="00000099">
      <w:pPr>
        <w:spacing w:line="360" w:lineRule="auto"/>
        <w:ind w:left="0" w:right="138.54330708661507" w:firstLine="0"/>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9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0">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B1">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B2">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B3">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B4">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B5">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B6">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plaza docente para secundaria tecnológica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rsidR="00000000" w:rsidDel="00000000" w:rsidP="00000000" w:rsidRDefault="00000000" w:rsidRPr="00000000" w14:paraId="000000B7">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incorpora también un módulo específico para valorar las habilidades y conocimientos que se relacionan de manera particular con el ejercicio de la función docente en secundaria tecnológica, que no sólo requiere de los aspirantes el estar en contacto con los procesos de desarrollo que tienen lugar durante la adolescencia en la esfera física, familiar, social, afectiva y de autoconocimiento de los estudiantes (Díaz, 2003; Rusillo &amp; Arias, 2004; Cavero &amp; Ángel, 2006), mostrándose sensibles a la detección de las características y necesidades particulares de sus estudiantes y fomentando un ambiente de aprendizaje sano, colaborativo y participativo que promueva los principios de equidad e inclusión  (Ruiz, Aguayo, Font, Municio, Majós, Goñi &amp; Rocamora, 2010; Costa &amp; Martínez, 2011). También requiere de los aspirantes evaluados el cumplir con un perfil técnico (Gordillo, Galbarte, 2002; Rojano, 2003) que les permita gestionar y transmitir los contenidos curriculares de una forma flexible, que contemple el manejo de estrategias didácticas variadas que le permitan acercar a los estudiantes al manejo y apropiación de dichos contenidos, (Rico, 1997; Ayuso &amp; Hernández, 2002; Tedesco &amp; López, 2002; Batanero, 2005). </w:t>
      </w:r>
    </w:p>
    <w:p w:rsidR="00000000" w:rsidDel="00000000" w:rsidP="00000000" w:rsidRDefault="00000000" w:rsidRPr="00000000" w14:paraId="000000B8">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9">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A">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B">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C">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D">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E">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F">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0">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1">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2">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C3">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C4">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Ayuso, G. E., &amp; Hernández, E. B. (2002). Alternativas a la enseñanza de la genética en educación secundaria. </w:t>
      </w:r>
      <w:r w:rsidDel="00000000" w:rsidR="00000000" w:rsidRPr="00000000">
        <w:rPr>
          <w:rFonts w:ascii="Arial" w:cs="Arial" w:eastAsia="Arial" w:hAnsi="Arial"/>
          <w:i w:val="1"/>
          <w:color w:val="222222"/>
          <w:sz w:val="24"/>
          <w:szCs w:val="24"/>
          <w:highlight w:val="white"/>
          <w:rtl w:val="0"/>
        </w:rPr>
        <w:t xml:space="preserve">Enseñanza de las ciencias: revista de investigación y experiencias didácticas</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20</w:t>
      </w:r>
      <w:r w:rsidDel="00000000" w:rsidR="00000000" w:rsidRPr="00000000">
        <w:rPr>
          <w:rFonts w:ascii="Arial" w:cs="Arial" w:eastAsia="Arial" w:hAnsi="Arial"/>
          <w:color w:val="222222"/>
          <w:sz w:val="24"/>
          <w:szCs w:val="24"/>
          <w:highlight w:val="white"/>
          <w:rtl w:val="0"/>
        </w:rPr>
        <w:t xml:space="preserve">(1), 133-157.</w:t>
      </w:r>
      <w:r w:rsidDel="00000000" w:rsidR="00000000" w:rsidRPr="00000000">
        <w:rPr>
          <w:rtl w:val="0"/>
        </w:rPr>
      </w:r>
    </w:p>
    <w:p w:rsidR="00000000" w:rsidDel="00000000" w:rsidP="00000000" w:rsidRDefault="00000000" w:rsidRPr="00000000" w14:paraId="000000C5">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Batanero, C. (2005). Significados de la probabilidad en la educación secundaria. </w:t>
      </w:r>
      <w:r w:rsidDel="00000000" w:rsidR="00000000" w:rsidRPr="00000000">
        <w:rPr>
          <w:rFonts w:ascii="Arial" w:cs="Arial" w:eastAsia="Arial" w:hAnsi="Arial"/>
          <w:i w:val="1"/>
          <w:color w:val="222222"/>
          <w:sz w:val="24"/>
          <w:szCs w:val="24"/>
          <w:highlight w:val="white"/>
          <w:rtl w:val="0"/>
        </w:rPr>
        <w:t xml:space="preserve">Revista Latinoamericana de Investigación en Matemática Educativa, RELIME</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8</w:t>
      </w:r>
      <w:r w:rsidDel="00000000" w:rsidR="00000000" w:rsidRPr="00000000">
        <w:rPr>
          <w:rFonts w:ascii="Arial" w:cs="Arial" w:eastAsia="Arial" w:hAnsi="Arial"/>
          <w:color w:val="222222"/>
          <w:sz w:val="24"/>
          <w:szCs w:val="24"/>
          <w:highlight w:val="white"/>
          <w:rtl w:val="0"/>
        </w:rPr>
        <w:t xml:space="preserve">(3), 247-263.</w:t>
      </w:r>
      <w:r w:rsidDel="00000000" w:rsidR="00000000" w:rsidRPr="00000000">
        <w:rPr>
          <w:rtl w:val="0"/>
        </w:rPr>
      </w:r>
    </w:p>
    <w:p w:rsidR="00000000" w:rsidDel="00000000" w:rsidP="00000000" w:rsidRDefault="00000000" w:rsidRPr="00000000" w14:paraId="000000C6">
      <w:pPr>
        <w:widowControl w:val="0"/>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C7">
      <w:pPr>
        <w:widowControl w:val="0"/>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Cavero, M. Á. B., &amp; Angel, M. (2006). Motivación y rendimiento académico en alumnos de Educación Secundaria Obligatoria y Bachillerato LOGSE.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340</w:t>
      </w:r>
      <w:r w:rsidDel="00000000" w:rsidR="00000000" w:rsidRPr="00000000">
        <w:rPr>
          <w:rFonts w:ascii="Arial" w:cs="Arial" w:eastAsia="Arial" w:hAnsi="Arial"/>
          <w:color w:val="222222"/>
          <w:sz w:val="24"/>
          <w:szCs w:val="24"/>
          <w:highlight w:val="white"/>
          <w:rtl w:val="0"/>
        </w:rPr>
        <w:t xml:space="preserve">, 379-414.</w:t>
      </w:r>
    </w:p>
    <w:p w:rsidR="00000000" w:rsidDel="00000000" w:rsidP="00000000" w:rsidRDefault="00000000" w:rsidRPr="00000000" w14:paraId="000000C8">
      <w:pPr>
        <w:widowControl w:val="0"/>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C9">
      <w:pPr>
        <w:widowControl w:val="0"/>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CA">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Costa, J. L. C., &amp; Martínez, L. N. (2011). </w:t>
      </w:r>
      <w:r w:rsidDel="00000000" w:rsidR="00000000" w:rsidRPr="00000000">
        <w:rPr>
          <w:rFonts w:ascii="Arial" w:cs="Arial" w:eastAsia="Arial" w:hAnsi="Arial"/>
          <w:i w:val="1"/>
          <w:color w:val="222222"/>
          <w:sz w:val="24"/>
          <w:szCs w:val="24"/>
          <w:highlight w:val="white"/>
          <w:rtl w:val="0"/>
        </w:rPr>
        <w:t xml:space="preserve">Aprendizaje, desarrollo y disfunciones. Implicaciones para la enseñanza en la Educación Secundaria</w:t>
      </w:r>
      <w:r w:rsidDel="00000000" w:rsidR="00000000" w:rsidRPr="00000000">
        <w:rPr>
          <w:rFonts w:ascii="Arial" w:cs="Arial" w:eastAsia="Arial" w:hAnsi="Arial"/>
          <w:color w:val="222222"/>
          <w:sz w:val="24"/>
          <w:szCs w:val="24"/>
          <w:highlight w:val="white"/>
          <w:rtl w:val="0"/>
        </w:rPr>
        <w:t xml:space="preserve">. Editorial Club Universitario.</w:t>
      </w:r>
    </w:p>
    <w:p w:rsidR="00000000" w:rsidDel="00000000" w:rsidP="00000000" w:rsidRDefault="00000000" w:rsidRPr="00000000" w14:paraId="000000CB">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Crisol-Moya, E., &amp; Romero López, M. (2014). Práctica docente versus ética docente. Hacia la mejora de la práctica docente a partir de la ética profesional.</w:t>
      </w:r>
    </w:p>
    <w:p w:rsidR="00000000" w:rsidDel="00000000" w:rsidP="00000000" w:rsidRDefault="00000000" w:rsidRPr="00000000" w14:paraId="000000CC">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CD">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CE">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CF">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A. L. (2003). Factores personales, familiares y académicos que afectan al fracaso escolar en la Educación Secundaria. </w:t>
      </w:r>
      <w:r w:rsidDel="00000000" w:rsidR="00000000" w:rsidRPr="00000000">
        <w:rPr>
          <w:rFonts w:ascii="Arial" w:cs="Arial" w:eastAsia="Arial" w:hAnsi="Arial"/>
          <w:i w:val="1"/>
          <w:color w:val="222222"/>
          <w:sz w:val="24"/>
          <w:szCs w:val="24"/>
          <w:highlight w:val="white"/>
          <w:rtl w:val="0"/>
        </w:rPr>
        <w:t xml:space="preserve">Electronic journal of research in educational psychology</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w:t>
      </w:r>
      <w:r w:rsidDel="00000000" w:rsidR="00000000" w:rsidRPr="00000000">
        <w:rPr>
          <w:rFonts w:ascii="Arial" w:cs="Arial" w:eastAsia="Arial" w:hAnsi="Arial"/>
          <w:color w:val="222222"/>
          <w:sz w:val="24"/>
          <w:szCs w:val="24"/>
          <w:highlight w:val="white"/>
          <w:rtl w:val="0"/>
        </w:rPr>
        <w:t xml:space="preserve">(1), 43-66.</w:t>
      </w:r>
      <w:r w:rsidDel="00000000" w:rsidR="00000000" w:rsidRPr="00000000">
        <w:rPr>
          <w:rtl w:val="0"/>
        </w:rPr>
      </w:r>
    </w:p>
    <w:p w:rsidR="00000000" w:rsidDel="00000000" w:rsidP="00000000" w:rsidRDefault="00000000" w:rsidRPr="00000000" w14:paraId="000000D0">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F., &amp; Hernández, G. (2002). </w:t>
      </w:r>
      <w:r w:rsidDel="00000000" w:rsidR="00000000" w:rsidRPr="00000000">
        <w:rPr>
          <w:rFonts w:ascii="Arial" w:cs="Arial" w:eastAsia="Arial" w:hAnsi="Arial"/>
          <w:i w:val="1"/>
          <w:color w:val="222222"/>
          <w:sz w:val="24"/>
          <w:szCs w:val="24"/>
          <w:highlight w:val="white"/>
          <w:rtl w:val="0"/>
        </w:rPr>
        <w:t xml:space="preserve">Estrategias docentes para un aprendizaje significativo</w:t>
      </w:r>
      <w:r w:rsidDel="00000000" w:rsidR="00000000" w:rsidRPr="00000000">
        <w:rPr>
          <w:rFonts w:ascii="Arial" w:cs="Arial" w:eastAsia="Arial" w:hAnsi="Arial"/>
          <w:color w:val="222222"/>
          <w:sz w:val="24"/>
          <w:szCs w:val="24"/>
          <w:highlight w:val="white"/>
          <w:rtl w:val="0"/>
        </w:rPr>
        <w:t xml:space="preserve"> (Vol. 2). México: McGraw-Hill.</w:t>
      </w:r>
      <w:r w:rsidDel="00000000" w:rsidR="00000000" w:rsidRPr="00000000">
        <w:rPr>
          <w:rtl w:val="0"/>
        </w:rPr>
      </w:r>
    </w:p>
    <w:p w:rsidR="00000000" w:rsidDel="00000000" w:rsidP="00000000" w:rsidRDefault="00000000" w:rsidRPr="00000000" w14:paraId="000000D1">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D2">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Enguita, M. F. (1995). La profesión docente y la comunidad escolar. </w:t>
      </w:r>
      <w:r w:rsidDel="00000000" w:rsidR="00000000" w:rsidRPr="00000000">
        <w:rPr>
          <w:rFonts w:ascii="Arial" w:cs="Arial" w:eastAsia="Arial" w:hAnsi="Arial"/>
          <w:i w:val="1"/>
          <w:color w:val="222222"/>
          <w:sz w:val="24"/>
          <w:szCs w:val="24"/>
          <w:highlight w:val="white"/>
          <w:rtl w:val="0"/>
        </w:rPr>
        <w:t xml:space="preserve">Morata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D3">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Fernández Batanero, J. M. (2013). Competencias docentes y educación inclusiva.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15</w:t>
      </w:r>
      <w:r w:rsidDel="00000000" w:rsidR="00000000" w:rsidRPr="00000000">
        <w:rPr>
          <w:rFonts w:ascii="Arial" w:cs="Arial" w:eastAsia="Arial" w:hAnsi="Arial"/>
          <w:color w:val="222222"/>
          <w:sz w:val="24"/>
          <w:szCs w:val="24"/>
          <w:highlight w:val="white"/>
          <w:rtl w:val="0"/>
        </w:rPr>
        <w:t xml:space="preserve">(2), 82-99.</w:t>
      </w:r>
    </w:p>
    <w:p w:rsidR="00000000" w:rsidDel="00000000" w:rsidP="00000000" w:rsidRDefault="00000000" w:rsidRPr="00000000" w14:paraId="000000D4">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D5">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D6">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Gordillo, M. M., &amp; Galbarte, J. C. G. (2002). Reflexiones sobre la educación tecnológica desde el enfoque CTS. </w:t>
      </w:r>
      <w:r w:rsidDel="00000000" w:rsidR="00000000" w:rsidRPr="00000000">
        <w:rPr>
          <w:rFonts w:ascii="Arial" w:cs="Arial" w:eastAsia="Arial" w:hAnsi="Arial"/>
          <w:i w:val="1"/>
          <w:color w:val="222222"/>
          <w:sz w:val="24"/>
          <w:szCs w:val="24"/>
          <w:highlight w:val="white"/>
          <w:rtl w:val="0"/>
        </w:rPr>
        <w:t xml:space="preserve">Revista Iberoamericana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28</w:t>
      </w:r>
      <w:r w:rsidDel="00000000" w:rsidR="00000000" w:rsidRPr="00000000">
        <w:rPr>
          <w:rFonts w:ascii="Arial" w:cs="Arial" w:eastAsia="Arial" w:hAnsi="Arial"/>
          <w:color w:val="222222"/>
          <w:sz w:val="24"/>
          <w:szCs w:val="24"/>
          <w:highlight w:val="white"/>
          <w:rtl w:val="0"/>
        </w:rPr>
        <w:t xml:space="preserve">(1).</w:t>
      </w:r>
      <w:r w:rsidDel="00000000" w:rsidR="00000000" w:rsidRPr="00000000">
        <w:rPr>
          <w:rtl w:val="0"/>
        </w:rPr>
      </w:r>
    </w:p>
    <w:p w:rsidR="00000000" w:rsidDel="00000000" w:rsidP="00000000" w:rsidRDefault="00000000" w:rsidRPr="00000000" w14:paraId="000000D7">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Hernández, N. C., &amp; Sanabria, G. T. (2012). La organización inteligente en un ambiente de aprendizaje: una exploración de sus aspectos generales. </w:t>
      </w:r>
      <w:r w:rsidDel="00000000" w:rsidR="00000000" w:rsidRPr="00000000">
        <w:rPr>
          <w:rFonts w:ascii="Arial" w:cs="Arial" w:eastAsia="Arial" w:hAnsi="Arial"/>
          <w:i w:val="1"/>
          <w:color w:val="222222"/>
          <w:sz w:val="24"/>
          <w:szCs w:val="24"/>
          <w:highlight w:val="white"/>
          <w:rtl w:val="0"/>
        </w:rPr>
        <w:t xml:space="preserve">AD-minister</w:t>
      </w:r>
      <w:r w:rsidDel="00000000" w:rsidR="00000000" w:rsidRPr="00000000">
        <w:rPr>
          <w:rFonts w:ascii="Arial" w:cs="Arial" w:eastAsia="Arial" w:hAnsi="Arial"/>
          <w:color w:val="222222"/>
          <w:sz w:val="24"/>
          <w:szCs w:val="24"/>
          <w:highlight w:val="white"/>
          <w:rtl w:val="0"/>
        </w:rPr>
        <w:t xml:space="preserve">, (21), 101-115.</w:t>
      </w:r>
      <w:r w:rsidDel="00000000" w:rsidR="00000000" w:rsidRPr="00000000">
        <w:rPr>
          <w:rtl w:val="0"/>
        </w:rPr>
      </w:r>
    </w:p>
    <w:p w:rsidR="00000000" w:rsidDel="00000000" w:rsidP="00000000" w:rsidRDefault="00000000" w:rsidRPr="00000000" w14:paraId="000000D8">
      <w:pPr>
        <w:numPr>
          <w:ilvl w:val="0"/>
          <w:numId w:val="1"/>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Ibáñez-Martín, J. A. (2013). Ética docente del siglo XXI: Nuevos desafíos. </w:t>
      </w:r>
      <w:r w:rsidDel="00000000" w:rsidR="00000000" w:rsidRPr="00000000">
        <w:rPr>
          <w:rFonts w:ascii="Arial" w:cs="Arial" w:eastAsia="Arial" w:hAnsi="Arial"/>
          <w:i w:val="1"/>
          <w:color w:val="222222"/>
          <w:sz w:val="24"/>
          <w:szCs w:val="24"/>
          <w:highlight w:val="white"/>
          <w:rtl w:val="0"/>
        </w:rPr>
        <w:t xml:space="preserve">Edetania. Estudios y propuestas socioeducativas</w:t>
      </w:r>
      <w:r w:rsidDel="00000000" w:rsidR="00000000" w:rsidRPr="00000000">
        <w:rPr>
          <w:rFonts w:ascii="Arial" w:cs="Arial" w:eastAsia="Arial" w:hAnsi="Arial"/>
          <w:color w:val="222222"/>
          <w:sz w:val="24"/>
          <w:szCs w:val="24"/>
          <w:highlight w:val="white"/>
          <w:rtl w:val="0"/>
        </w:rPr>
        <w:t xml:space="preserve">, (43), 17-31.</w:t>
      </w:r>
      <w:r w:rsidDel="00000000" w:rsidR="00000000" w:rsidRPr="00000000">
        <w:rPr>
          <w:rtl w:val="0"/>
        </w:rPr>
      </w:r>
    </w:p>
    <w:p w:rsidR="00000000" w:rsidDel="00000000" w:rsidP="00000000" w:rsidRDefault="00000000" w:rsidRPr="00000000" w14:paraId="000000D9">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DA">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DB">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DC">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DD">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DE">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DF">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r w:rsidDel="00000000" w:rsidR="00000000" w:rsidRPr="00000000">
        <w:rPr>
          <w:rtl w:val="0"/>
        </w:rPr>
      </w:r>
    </w:p>
    <w:p w:rsidR="00000000" w:rsidDel="00000000" w:rsidP="00000000" w:rsidRDefault="00000000" w:rsidRPr="00000000" w14:paraId="000000E0">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E1">
      <w:pPr>
        <w:numPr>
          <w:ilvl w:val="0"/>
          <w:numId w:val="1"/>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r w:rsidDel="00000000" w:rsidR="00000000" w:rsidRPr="00000000">
        <w:rPr>
          <w:rtl w:val="0"/>
        </w:rPr>
      </w:r>
    </w:p>
    <w:p w:rsidR="00000000" w:rsidDel="00000000" w:rsidP="00000000" w:rsidRDefault="00000000" w:rsidRPr="00000000" w14:paraId="000000E2">
      <w:pPr>
        <w:numPr>
          <w:ilvl w:val="0"/>
          <w:numId w:val="1"/>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E3">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E4">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Rico, L. (1997). Consideraciones sobre el currículo de matemáticas para educación secundaria.</w:t>
      </w:r>
    </w:p>
    <w:p w:rsidR="00000000" w:rsidDel="00000000" w:rsidP="00000000" w:rsidRDefault="00000000" w:rsidRPr="00000000" w14:paraId="000000E5">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Rojano, T. (2003). Incorporación de entornos tecnológicos de aprendizaje a la cultura escolar: proyecto de innovación educativa en matemáticas y ciencias en escuelas secundarias públicas de México. </w:t>
      </w:r>
      <w:r w:rsidDel="00000000" w:rsidR="00000000" w:rsidRPr="00000000">
        <w:rPr>
          <w:rFonts w:ascii="Arial" w:cs="Arial" w:eastAsia="Arial" w:hAnsi="Arial"/>
          <w:i w:val="1"/>
          <w:color w:val="222222"/>
          <w:sz w:val="24"/>
          <w:szCs w:val="24"/>
          <w:highlight w:val="white"/>
          <w:rtl w:val="0"/>
        </w:rPr>
        <w:t xml:space="preserve">Revista iberoamericana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33</w:t>
      </w:r>
      <w:r w:rsidDel="00000000" w:rsidR="00000000" w:rsidRPr="00000000">
        <w:rPr>
          <w:rFonts w:ascii="Arial" w:cs="Arial" w:eastAsia="Arial" w:hAnsi="Arial"/>
          <w:color w:val="222222"/>
          <w:sz w:val="24"/>
          <w:szCs w:val="24"/>
          <w:highlight w:val="white"/>
          <w:rtl w:val="0"/>
        </w:rPr>
        <w:t xml:space="preserve">(3), 135-165.</w:t>
      </w:r>
    </w:p>
    <w:p w:rsidR="00000000" w:rsidDel="00000000" w:rsidP="00000000" w:rsidRDefault="00000000" w:rsidRPr="00000000" w14:paraId="000000E6">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Ruiz, R. O., Aguayo, J. E., Font, C. M., Municio, J. I. P., Majós, T. M., Goñi, J. O., ... &amp; Rocamora, A. E. (2010). </w:t>
      </w:r>
      <w:r w:rsidDel="00000000" w:rsidR="00000000" w:rsidRPr="00000000">
        <w:rPr>
          <w:rFonts w:ascii="Arial" w:cs="Arial" w:eastAsia="Arial" w:hAnsi="Arial"/>
          <w:i w:val="1"/>
          <w:color w:val="222222"/>
          <w:sz w:val="24"/>
          <w:szCs w:val="24"/>
          <w:highlight w:val="white"/>
          <w:rtl w:val="0"/>
        </w:rPr>
        <w:t xml:space="preserve">Desarrollo, aprendizaje y enseñanza en la educación secundaria</w:t>
      </w:r>
      <w:r w:rsidDel="00000000" w:rsidR="00000000" w:rsidRPr="00000000">
        <w:rPr>
          <w:rFonts w:ascii="Arial" w:cs="Arial" w:eastAsia="Arial" w:hAnsi="Arial"/>
          <w:color w:val="222222"/>
          <w:sz w:val="24"/>
          <w:szCs w:val="24"/>
          <w:highlight w:val="white"/>
          <w:rtl w:val="0"/>
        </w:rPr>
        <w:t xml:space="preserve"> (Vol. 11). Grao.</w:t>
      </w:r>
    </w:p>
    <w:p w:rsidR="00000000" w:rsidDel="00000000" w:rsidP="00000000" w:rsidRDefault="00000000" w:rsidRPr="00000000" w14:paraId="000000E7">
      <w:pPr>
        <w:numPr>
          <w:ilvl w:val="0"/>
          <w:numId w:val="1"/>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Rusillo, M. T. C., &amp; Arias, P. F. C. (2004). Diferencias de género en la motivación académica de los alumnos de Educación Secundaria Obligatoria. </w:t>
      </w:r>
      <w:r w:rsidDel="00000000" w:rsidR="00000000" w:rsidRPr="00000000">
        <w:rPr>
          <w:rFonts w:ascii="Arial" w:cs="Arial" w:eastAsia="Arial" w:hAnsi="Arial"/>
          <w:i w:val="1"/>
          <w:color w:val="222222"/>
          <w:sz w:val="24"/>
          <w:szCs w:val="24"/>
          <w:highlight w:val="white"/>
          <w:rtl w:val="0"/>
        </w:rPr>
        <w:t xml:space="preserve">Electronic journal of research in educational psychology</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2</w:t>
      </w:r>
      <w:r w:rsidDel="00000000" w:rsidR="00000000" w:rsidRPr="00000000">
        <w:rPr>
          <w:rFonts w:ascii="Arial" w:cs="Arial" w:eastAsia="Arial" w:hAnsi="Arial"/>
          <w:color w:val="222222"/>
          <w:sz w:val="24"/>
          <w:szCs w:val="24"/>
          <w:highlight w:val="white"/>
          <w:rtl w:val="0"/>
        </w:rPr>
        <w:t xml:space="preserve">(1), 97-112.</w:t>
      </w:r>
    </w:p>
    <w:p w:rsidR="00000000" w:rsidDel="00000000" w:rsidP="00000000" w:rsidRDefault="00000000" w:rsidRPr="00000000" w14:paraId="000000E8">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E9">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rsidR="00000000" w:rsidDel="00000000" w:rsidP="00000000" w:rsidRDefault="00000000" w:rsidRPr="00000000" w14:paraId="000000EA">
      <w:pPr>
        <w:numPr>
          <w:ilvl w:val="0"/>
          <w:numId w:val="1"/>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Tedesco, J. C., &amp; López, N. (2002). Desafíos a la educación secundaria en América Latina. </w:t>
      </w:r>
      <w:r w:rsidDel="00000000" w:rsidR="00000000" w:rsidRPr="00000000">
        <w:rPr>
          <w:rFonts w:ascii="Arial" w:cs="Arial" w:eastAsia="Arial" w:hAnsi="Arial"/>
          <w:i w:val="1"/>
          <w:color w:val="222222"/>
          <w:sz w:val="24"/>
          <w:szCs w:val="24"/>
          <w:highlight w:val="white"/>
          <w:rtl w:val="0"/>
        </w:rPr>
        <w:t xml:space="preserve">Revista de la CEPAL</w:t>
      </w:r>
      <w:r w:rsidDel="00000000" w:rsidR="00000000" w:rsidRPr="00000000">
        <w:rPr>
          <w:rFonts w:ascii="Arial" w:cs="Arial" w:eastAsia="Arial" w:hAnsi="Arial"/>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EB">
      <w:pPr>
        <w:spacing w:after="0" w:line="360" w:lineRule="auto"/>
        <w:ind w:left="720" w:right="138.54330708661507" w:firstLine="0"/>
        <w:jc w:val="both"/>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C">
      <w:pPr>
        <w:spacing w:line="276" w:lineRule="auto"/>
        <w:ind w:left="425.19685039370086" w:right="138.54330708661507" w:firstLine="0"/>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ED">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E">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F">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0">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1">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2">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3">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4">
      <w:pPr>
        <w:spacing w:line="276" w:lineRule="auto"/>
        <w:ind w:left="425.19685039370086"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5">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6">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F7">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F8">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gDRI/gQZQtx2gr1y3UsCyqs6sg==">AMUW2mWZiK77qtQcfCa6PQiMkMtm9e17OfTMZ0bdMW2C3OQhPQ/MSIQD3usoJB/0KvN/cIOXwuXu0s3ehr7Ode+TNnMOLoiMMRrMa710f9EbmRt+lX1tyqnQ2gtH9yT8UVcCAClkhXn5TVunGt9yfOhAw63C2y9zzi9K+qdmlpgg294UfgO12go=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