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w:t>
      </w:r>
      <w:r w:rsidDel="00000000" w:rsidR="00000000" w:rsidRPr="00000000">
        <w:rPr>
          <w:rFonts w:ascii="Arial" w:cs="Arial" w:eastAsia="Arial" w:hAnsi="Arial"/>
          <w:b w:val="1"/>
          <w:sz w:val="36"/>
          <w:szCs w:val="36"/>
          <w:rtl w:val="0"/>
        </w:rPr>
        <w:t xml:space="preserve">Cuestionario de Habilidades Socioemocionales para Asesor Técnico Pedagógico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0" w:right="13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rtl w:val="0"/>
        </w:rPr>
        <w:t xml:space="preserve">XX de febrero de 2020.</w:t>
      </w:r>
    </w:p>
    <w:p w:rsidR="00000000" w:rsidDel="00000000" w:rsidP="00000000" w:rsidRDefault="00000000" w:rsidRPr="00000000" w14:paraId="00000021">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Marco Teórico </w:t>
      </w:r>
      <w:r w:rsidDel="00000000" w:rsidR="00000000" w:rsidRPr="00000000">
        <w:rPr>
          <w:rtl w:val="0"/>
        </w:rPr>
      </w:r>
    </w:p>
    <w:p w:rsidR="00000000" w:rsidDel="00000000" w:rsidP="00000000" w:rsidRDefault="00000000" w:rsidRPr="00000000" w14:paraId="0000002E">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6">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7">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8">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9">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A">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B">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C">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D">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E">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F">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60">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1">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2">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3">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4">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5">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6">
      <w:pPr>
        <w:spacing w:line="360" w:lineRule="auto"/>
        <w:ind w:left="0" w:right="563" w:firstLine="0"/>
        <w:jc w:val="both"/>
        <w:rPr>
          <w:rFonts w:ascii="Arial" w:cs="Arial" w:eastAsia="Arial" w:hAnsi="Arial"/>
          <w:b w:val="1"/>
          <w:sz w:val="30"/>
          <w:szCs w:val="30"/>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w:t>
      </w:r>
      <w:r w:rsidDel="00000000" w:rsidR="00000000" w:rsidRPr="00000000">
        <w:rPr>
          <w:rFonts w:ascii="Arial" w:cs="Arial" w:eastAsia="Arial" w:hAnsi="Arial"/>
          <w:sz w:val="24"/>
          <w:szCs w:val="24"/>
          <w:rtl w:val="0"/>
        </w:rPr>
        <w:t xml:space="preserve">Cuestionario de Habilidades Socioemocionales, uno de los instrumentos de apreciación cuya aplicación y calificación se considera parte del proceso de selección para la promoción horizontal, en el que participa </w:t>
      </w: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sz w:val="24"/>
          <w:szCs w:val="24"/>
          <w:rtl w:val="0"/>
        </w:rPr>
        <w:t xml:space="preserve">personal con funciones de asesor técnico pedagógico</w:t>
      </w:r>
      <w:r w:rsidDel="00000000" w:rsidR="00000000" w:rsidRPr="00000000">
        <w:rPr>
          <w:rFonts w:ascii="Arial" w:cs="Arial" w:eastAsia="Arial" w:hAnsi="Arial"/>
          <w:sz w:val="24"/>
          <w:szCs w:val="24"/>
          <w:rtl w:val="0"/>
        </w:rPr>
        <w:t xml:space="preserve"> para obtener </w:t>
      </w:r>
      <w:r w:rsidDel="00000000" w:rsidR="00000000" w:rsidRPr="00000000">
        <w:rPr>
          <w:rFonts w:ascii="Arial" w:cs="Arial" w:eastAsia="Arial" w:hAnsi="Arial"/>
          <w:sz w:val="24"/>
          <w:szCs w:val="24"/>
          <w:rtl w:val="0"/>
        </w:rPr>
        <w:t xml:space="preserve">un estímulo económico dentro de su función</w:t>
      </w:r>
      <w:r w:rsidDel="00000000" w:rsidR="00000000" w:rsidRPr="00000000">
        <w:rPr>
          <w:rFonts w:ascii="Arial" w:cs="Arial" w:eastAsia="Arial" w:hAnsi="Arial"/>
          <w:sz w:val="24"/>
          <w:szCs w:val="24"/>
          <w:rtl w:val="0"/>
        </w:rPr>
        <w:t xml:space="preserve">.  Este instrumento tiene como objetivo principal </w:t>
      </w:r>
      <w:r w:rsidDel="00000000" w:rsidR="00000000" w:rsidRPr="00000000">
        <w:rPr>
          <w:rFonts w:ascii="Arial" w:cs="Arial" w:eastAsia="Arial" w:hAnsi="Arial"/>
          <w:sz w:val="24"/>
          <w:szCs w:val="24"/>
          <w:rtl w:val="0"/>
        </w:rPr>
        <w:t xml:space="preserve">valorar un conjunto de habilidades relacionadas con la auto-conciencia, auto-gestión, conciencia social, las habilidades para relacionarse y la toma de decisiones responsable; y se caracteriza por </w:t>
      </w:r>
      <w:r w:rsidDel="00000000" w:rsidR="00000000" w:rsidRPr="00000000">
        <w:rPr>
          <w:rFonts w:ascii="Arial" w:cs="Arial" w:eastAsia="Arial" w:hAnsi="Arial"/>
          <w:sz w:val="24"/>
          <w:szCs w:val="24"/>
          <w:rtl w:val="0"/>
        </w:rPr>
        <w:t xml:space="preserve">ser un instrumento adaptado de 46 ítems politómicos con una escala de valoración de cuatro niveles posibles.</w:t>
      </w:r>
      <w:r w:rsidDel="00000000" w:rsidR="00000000" w:rsidRPr="00000000">
        <w:rPr>
          <w:rtl w:val="0"/>
        </w:rPr>
      </w:r>
    </w:p>
    <w:p w:rsidR="00000000" w:rsidDel="00000000" w:rsidP="00000000" w:rsidRDefault="00000000" w:rsidRPr="00000000" w14:paraId="00000067">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rsidR="00000000" w:rsidDel="00000000" w:rsidP="00000000" w:rsidRDefault="00000000" w:rsidRPr="00000000" w14:paraId="0000006C">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D">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6E">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6F">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0">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1">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2">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3">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74">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5">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6">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7">
      <w:pPr>
        <w:numPr>
          <w:ilvl w:val="0"/>
          <w:numId w:val="2"/>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8">
      <w:pPr>
        <w:spacing w:line="360" w:lineRule="auto"/>
        <w:ind w:left="36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w:t>
      </w:r>
      <w:r w:rsidDel="00000000" w:rsidR="00000000" w:rsidRPr="00000000">
        <w:rPr>
          <w:rFonts w:ascii="Arial" w:cs="Arial" w:eastAsia="Arial" w:hAnsi="Arial"/>
          <w:sz w:val="24"/>
          <w:szCs w:val="24"/>
          <w:rtl w:val="0"/>
        </w:rPr>
        <w:t xml:space="preserve">promoción horizontal del </w:t>
      </w:r>
      <w:r w:rsidDel="00000000" w:rsidR="00000000" w:rsidRPr="00000000">
        <w:rPr>
          <w:rFonts w:ascii="Arial" w:cs="Arial" w:eastAsia="Arial" w:hAnsi="Arial"/>
          <w:sz w:val="24"/>
          <w:szCs w:val="24"/>
          <w:rtl w:val="0"/>
        </w:rPr>
        <w:t xml:space="preserve">personal con funciones de asesor técnico pedagógico, el SISAP plantea la aplicación de un Cuestionario de Habilidades Socioemocionales, en conjunto con el </w:t>
      </w:r>
      <w:r w:rsidDel="00000000" w:rsidR="00000000" w:rsidRPr="00000000">
        <w:rPr>
          <w:rFonts w:ascii="Arial" w:cs="Arial" w:eastAsia="Arial" w:hAnsi="Arial"/>
          <w:sz w:val="24"/>
          <w:szCs w:val="24"/>
          <w:rtl w:val="0"/>
        </w:rPr>
        <w:t xml:space="preserve">instrumento de valoración de conocimientos y aptitudes, el proyecto de seguimiento y la entrevista sobre el proyecto de seguimiento. </w:t>
      </w:r>
    </w:p>
    <w:p w:rsidR="00000000" w:rsidDel="00000000" w:rsidP="00000000" w:rsidRDefault="00000000" w:rsidRPr="00000000" w14:paraId="00000079">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A">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D">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w:t>
      </w:r>
      <w:r w:rsidDel="00000000" w:rsidR="00000000" w:rsidRPr="00000000">
        <w:rPr>
          <w:rFonts w:ascii="Arial" w:cs="Arial" w:eastAsia="Arial" w:hAnsi="Arial"/>
          <w:sz w:val="24"/>
          <w:szCs w:val="24"/>
          <w:rtl w:val="0"/>
        </w:rPr>
        <w:t xml:space="preserve">Cuestionario de Habilidades Socioemocionales aplicado al personal con funciones de asesor técnico pedagógico como parte del proceso de selección para la </w:t>
      </w:r>
      <w:r w:rsidDel="00000000" w:rsidR="00000000" w:rsidRPr="00000000">
        <w:rPr>
          <w:rFonts w:ascii="Arial" w:cs="Arial" w:eastAsia="Arial" w:hAnsi="Arial"/>
          <w:sz w:val="24"/>
          <w:szCs w:val="24"/>
          <w:rtl w:val="0"/>
        </w:rPr>
        <w:t xml:space="preserve">promoción horizontal, se toma como referencia el Perfil profesional que forma parte del Marco para la excelencia en la enseñanza y la gestión escolar en la educación básica  (a febrero de 2020 no se ha publicado).</w:t>
      </w:r>
    </w:p>
    <w:p w:rsidR="00000000" w:rsidDel="00000000" w:rsidP="00000000" w:rsidRDefault="00000000" w:rsidRPr="00000000" w14:paraId="0000007E">
      <w:pPr>
        <w:spacing w:line="276" w:lineRule="auto"/>
        <w:ind w:left="425" w:right="138"/>
        <w:rPr>
          <w:rFonts w:ascii="Arial" w:cs="Arial" w:eastAsia="Arial" w:hAnsi="Arial"/>
          <w:b w:val="1"/>
          <w:sz w:val="24"/>
          <w:szCs w:val="24"/>
        </w:rPr>
      </w:pPr>
      <w:bookmarkStart w:colFirst="0" w:colLast="0" w:name="_heading=h.tyjcwt" w:id="4"/>
      <w:bookmarkEnd w:id="4"/>
      <w:r w:rsidDel="00000000" w:rsidR="00000000" w:rsidRPr="00000000">
        <w:rPr>
          <w:rtl w:val="0"/>
        </w:rPr>
      </w:r>
    </w:p>
    <w:p w:rsidR="00000000" w:rsidDel="00000000" w:rsidP="00000000" w:rsidRDefault="00000000" w:rsidRPr="00000000" w14:paraId="0000007F">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III. Referentes Teóricos</w:t>
      </w:r>
    </w:p>
    <w:p w:rsidR="00000000" w:rsidDel="00000000" w:rsidP="00000000" w:rsidRDefault="00000000" w:rsidRPr="00000000" w14:paraId="0000008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8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8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8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del Cuestionario de Habilidades Socioemocionales, se utilizará una versión adaptada del cuestionario del </w:t>
      </w:r>
      <w:r w:rsidDel="00000000" w:rsidR="00000000" w:rsidRPr="00000000">
        <w:rPr>
          <w:rFonts w:ascii="Arial" w:cs="Arial" w:eastAsia="Arial" w:hAnsi="Arial"/>
          <w:i w:val="1"/>
          <w:sz w:val="24"/>
          <w:szCs w:val="24"/>
          <w:rtl w:val="0"/>
        </w:rPr>
        <w:t xml:space="preserve">Collaborative for Academic, Social, and Emotional Learning</w:t>
      </w:r>
      <w:r w:rsidDel="00000000" w:rsidR="00000000" w:rsidRPr="00000000">
        <w:rPr>
          <w:rFonts w:ascii="Arial" w:cs="Arial" w:eastAsia="Arial" w:hAnsi="Arial"/>
          <w:sz w:val="24"/>
          <w:szCs w:val="24"/>
          <w:rtl w:val="0"/>
        </w:rPr>
        <w:t xml:space="preserve">, CASEL, por sus siglas en inglés, el cual mide el aprendizaje socioemocional, que implica cómo los adultos, en este caso, los </w:t>
      </w:r>
      <w:r w:rsidDel="00000000" w:rsidR="00000000" w:rsidRPr="00000000">
        <w:rPr>
          <w:rFonts w:ascii="Arial" w:cs="Arial" w:eastAsia="Arial" w:hAnsi="Arial"/>
          <w:sz w:val="24"/>
          <w:szCs w:val="24"/>
          <w:rtl w:val="0"/>
        </w:rPr>
        <w:t xml:space="preserve">asesores técnico pedagógicos</w:t>
      </w:r>
      <w:r w:rsidDel="00000000" w:rsidR="00000000" w:rsidRPr="00000000">
        <w:rPr>
          <w:rFonts w:ascii="Arial" w:cs="Arial" w:eastAsia="Arial" w:hAnsi="Arial"/>
          <w:sz w:val="24"/>
          <w:szCs w:val="24"/>
          <w:rtl w:val="0"/>
        </w:rPr>
        <w:t xml:space="preserve">, aprenden a comprender y manejar sus propias emociones, fijarse metas positivas, mostrar empatía por los demás, establecer relaciones positivas y tomar decisiones responsables para su futuro (CASEL, 2020). </w:t>
      </w:r>
    </w:p>
    <w:p w:rsidR="00000000" w:rsidDel="00000000" w:rsidP="00000000" w:rsidRDefault="00000000" w:rsidRPr="00000000" w14:paraId="0000008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ha demostrado que las personas en un ambiente educativo, al adquirir habilidades socioemocionales, presentan una mayor resolución de conflictos entre pares y se involucran más en el trabajo en el aula (Milicic, N., Alcalay, L., Berger, C. y Álamos, P., 2013). En el caso particular de personal educativo, la SEP ha implementado anteriormente el Cuestionario de Habilidades Socioemocionales en un proyecto en conjunto con el Programa de las Naciones Unidas para el Desarrollo (PNUD), en el que se impulsó el desarrollo de habilidades socioemocionales en estudiantes de Educación Media Superior, y, por lo tanto, también fue aplicado a docentes y directivos laborando en el mismo nivel educativo.</w:t>
      </w:r>
    </w:p>
    <w:p w:rsidR="00000000" w:rsidDel="00000000" w:rsidP="00000000" w:rsidRDefault="00000000" w:rsidRPr="00000000" w14:paraId="0000008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cuestionario comprende 5 dimensiones: 1) autoconciencia, 2) autogestión y regulación emocional, 3) conciencia social, 4) habilidades para relacionarse y 5) toma de decisiones responsables. Todas ellas se han considerado necesarias para medir el componente socioemocional que conllevan los dominios, criterios e indicadores pertenecientes al perfil del </w:t>
      </w:r>
      <w:r w:rsidDel="00000000" w:rsidR="00000000" w:rsidRPr="00000000">
        <w:rPr>
          <w:rFonts w:ascii="Arial" w:cs="Arial" w:eastAsia="Arial" w:hAnsi="Arial"/>
          <w:sz w:val="24"/>
          <w:szCs w:val="24"/>
          <w:rtl w:val="0"/>
        </w:rPr>
        <w:t xml:space="preserve">asesor técnico pedagógico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B">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C">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8D">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E">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F">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0">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1">
      <w:pPr>
        <w:spacing w:line="276" w:lineRule="auto"/>
        <w:ind w:left="425"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2">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93">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sz w:val="24"/>
          <w:szCs w:val="24"/>
          <w:rtl w:val="0"/>
        </w:rPr>
        <w:t xml:space="preserve">Revista Educación Médica del Centro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w:t>
      </w:r>
      <w:r w:rsidDel="00000000" w:rsidR="00000000" w:rsidRPr="00000000">
        <w:rPr>
          <w:rFonts w:ascii="Arial" w:cs="Arial" w:eastAsia="Arial" w:hAnsi="Arial"/>
          <w:sz w:val="24"/>
          <w:szCs w:val="24"/>
          <w:rtl w:val="0"/>
        </w:rPr>
        <w:t xml:space="preserve">(4), 196-215.</w:t>
      </w:r>
    </w:p>
    <w:p w:rsidR="00000000" w:rsidDel="00000000" w:rsidP="00000000" w:rsidRDefault="00000000" w:rsidRPr="00000000" w14:paraId="00000094">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CASEL (2020). What is SEL? Recuperado el 26 de febrero de 2020, de: http://www.casel.org/what-is-sel/ </w:t>
      </w:r>
    </w:p>
    <w:p w:rsidR="00000000" w:rsidDel="00000000" w:rsidP="00000000" w:rsidRDefault="00000000" w:rsidRPr="00000000" w14:paraId="00000095">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96">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97">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Fullan, M. (2007). Educational reform as continuous improvement. </w:t>
      </w:r>
      <w:r w:rsidDel="00000000" w:rsidR="00000000" w:rsidRPr="00000000">
        <w:rPr>
          <w:rFonts w:ascii="Arial" w:cs="Arial" w:eastAsia="Arial" w:hAnsi="Arial"/>
          <w:i w:val="1"/>
          <w:sz w:val="24"/>
          <w:szCs w:val="24"/>
          <w:rtl w:val="0"/>
        </w:rPr>
        <w:t xml:space="preserve">The keys to effective</w:t>
      </w:r>
    </w:p>
    <w:p w:rsidR="00000000" w:rsidDel="00000000" w:rsidP="00000000" w:rsidRDefault="00000000" w:rsidRPr="00000000" w14:paraId="00000098">
      <w:pPr>
        <w:spacing w:after="0" w:line="360" w:lineRule="auto"/>
        <w:ind w:left="720" w:right="140" w:firstLine="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schools: Educational reform as continuous improvement</w:t>
      </w:r>
      <w:r w:rsidDel="00000000" w:rsidR="00000000" w:rsidRPr="00000000">
        <w:rPr>
          <w:rFonts w:ascii="Arial" w:cs="Arial" w:eastAsia="Arial" w:hAnsi="Arial"/>
          <w:sz w:val="24"/>
          <w:szCs w:val="24"/>
          <w:rtl w:val="0"/>
        </w:rPr>
        <w:t xml:space="preserve">, 1-12.</w:t>
      </w:r>
    </w:p>
    <w:p w:rsidR="00000000" w:rsidDel="00000000" w:rsidP="00000000" w:rsidRDefault="00000000" w:rsidRPr="00000000" w14:paraId="00000099">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Milicic, N., Alcalay, L., Berger, C. y Álamos, P. (2013). Aprendizaje socioemocional en estudiantes de quinto y sexto grado: presentación y evaluación de impacto del programa BASE. </w:t>
      </w:r>
      <w:r w:rsidDel="00000000" w:rsidR="00000000" w:rsidRPr="00000000">
        <w:rPr>
          <w:rFonts w:ascii="Arial" w:cs="Arial" w:eastAsia="Arial" w:hAnsi="Arial"/>
          <w:i w:val="1"/>
          <w:sz w:val="24"/>
          <w:szCs w:val="24"/>
          <w:rtl w:val="0"/>
        </w:rPr>
        <w:t xml:space="preserve">Ensaio: aval. pol. públ. Educ.</w:t>
      </w:r>
      <w:r w:rsidDel="00000000" w:rsidR="00000000" w:rsidRPr="00000000">
        <w:rPr>
          <w:rFonts w:ascii="Arial" w:cs="Arial" w:eastAsia="Arial" w:hAnsi="Arial"/>
          <w:sz w:val="24"/>
          <w:szCs w:val="24"/>
          <w:rtl w:val="0"/>
        </w:rPr>
        <w:t xml:space="preserve">, 21, (81), 645-666.</w:t>
      </w:r>
    </w:p>
    <w:p w:rsidR="00000000" w:rsidDel="00000000" w:rsidP="00000000" w:rsidRDefault="00000000" w:rsidRPr="00000000" w14:paraId="0000009A">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9B">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9C">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9D">
      <w:pPr>
        <w:spacing w:after="0" w:line="360" w:lineRule="auto"/>
        <w:ind w:left="72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F">
      <w:pPr>
        <w:spacing w:line="276" w:lineRule="auto"/>
        <w:ind w:left="425"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0">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A1">
      <w:pPr>
        <w:spacing w:line="276" w:lineRule="auto"/>
        <w:ind w:right="138"/>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 w:right="89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8C5E2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sGiCLpjt7rVimq1Ze29cqJaFQQ==">AMUW2mVSw+MI85ICKOUeBcd9qd2oPD9D/bqkVLRTVBexq8UDF9QJxZkNTCGkhPfgJWCuJGYKD1t81phLoffpPGg/g7dNumiLfaPKrjFkMQE5RZh6Z4sTl2QhoHClfYAmFPoJ4EyGDFLKWyNL0awu6mPjJuSZsF2mn+Yi896to3IEn8H3G1AeI8M=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2020-02-25T22:45:00Z</dcterms:created>
</cp:coreProperties>
</file>