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19685039370086" w:right="138.54330708661507" w:firstLine="0"/>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19685039370086" w:right="138.54330708661507" w:firstLine="0"/>
        <w:jc w:val="center"/>
        <w:rPr>
          <w:rFonts w:ascii="Arial" w:cs="Arial" w:eastAsia="Arial" w:hAnsi="Arial"/>
          <w:b w:val="1"/>
          <w:sz w:val="44"/>
          <w:szCs w:val="4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line="276" w:lineRule="auto"/>
        <w:ind w:left="425" w:right="138"/>
        <w:jc w:val="center"/>
        <w:rPr>
          <w:rFonts w:ascii="Arial" w:cs="Arial" w:eastAsia="Arial" w:hAnsi="Arial"/>
          <w:b w:val="1"/>
          <w:sz w:val="36"/>
          <w:szCs w:val="36"/>
          <w:highlight w:val="yellow"/>
        </w:rPr>
      </w:pPr>
      <w:bookmarkStart w:colFirst="0" w:colLast="0" w:name="_heading=h.3znysh7" w:id="3"/>
      <w:bookmarkEnd w:id="3"/>
      <w:r w:rsidDel="00000000" w:rsidR="00000000" w:rsidRPr="00000000">
        <w:rPr>
          <w:rFonts w:ascii="Arial" w:cs="Arial" w:eastAsia="Arial" w:hAnsi="Arial"/>
          <w:b w:val="1"/>
          <w:sz w:val="36"/>
          <w:szCs w:val="36"/>
          <w:rtl w:val="0"/>
        </w:rPr>
        <w:t xml:space="preserve">Marco de Referencia para el desarrollo y uso del Instrumento de valoración de conocimientos y aptitudes  para el personal docente en educación especial como parte del Proceso de Selección para la Promoción Horizontal</w:t>
      </w:r>
      <w:r w:rsidDel="00000000" w:rsidR="00000000" w:rsidRPr="00000000">
        <w:rPr>
          <w:rtl w:val="0"/>
        </w:rPr>
      </w:r>
    </w:p>
    <w:p w:rsidR="00000000" w:rsidDel="00000000" w:rsidP="00000000" w:rsidRDefault="00000000" w:rsidRPr="00000000" w14:paraId="00000005">
      <w:pPr>
        <w:spacing w:line="276" w:lineRule="auto"/>
        <w:ind w:left="425.19685039370086" w:right="138.54330708661507" w:firstLine="0"/>
        <w:jc w:val="center"/>
        <w:rPr>
          <w:rFonts w:ascii="Arial" w:cs="Arial" w:eastAsia="Arial" w:hAnsi="Arial"/>
          <w:b w:val="1"/>
          <w:sz w:val="36"/>
          <w:szCs w:val="36"/>
        </w:rPr>
      </w:pPr>
      <w:bookmarkStart w:colFirst="0" w:colLast="0" w:name="_heading=h.76232tsmcdw5" w:id="4"/>
      <w:bookmarkEnd w:id="4"/>
      <w:r w:rsidDel="00000000" w:rsidR="00000000" w:rsidRPr="00000000">
        <w:rPr>
          <w:rtl w:val="0"/>
        </w:rPr>
      </w:r>
    </w:p>
    <w:p w:rsidR="00000000" w:rsidDel="00000000" w:rsidP="00000000" w:rsidRDefault="00000000" w:rsidRPr="00000000" w14:paraId="00000006">
      <w:pPr>
        <w:spacing w:line="276" w:lineRule="auto"/>
        <w:ind w:left="425.19685039370086" w:right="138.54330708661507" w:firstLine="0"/>
        <w:rPr/>
      </w:pPr>
      <w:r w:rsidDel="00000000" w:rsidR="00000000" w:rsidRPr="00000000">
        <w:rPr>
          <w:rtl w:val="0"/>
        </w:rPr>
        <w:tab/>
      </w:r>
    </w:p>
    <w:p w:rsidR="00000000" w:rsidDel="00000000" w:rsidP="00000000" w:rsidRDefault="00000000" w:rsidRPr="00000000" w14:paraId="00000007">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8">
      <w:pPr>
        <w:widowControl w:val="0"/>
        <w:spacing w:after="0" w:before="16" w:line="26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A">
      <w:pPr>
        <w:widowControl w:val="0"/>
        <w:spacing w:after="0" w:line="24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widowControl w:val="0"/>
        <w:spacing w:after="0" w:before="2" w:line="240" w:lineRule="auto"/>
        <w:ind w:left="425.19685039370086" w:right="138.54330708661507"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before="12" w:line="28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highlight w:val="red"/>
          <w:rtl w:val="0"/>
        </w:rPr>
        <w:t xml:space="preserve">XX</w:t>
      </w:r>
      <w:r w:rsidDel="00000000" w:rsidR="00000000" w:rsidRPr="00000000">
        <w:rPr>
          <w:rFonts w:ascii="Arial" w:cs="Arial" w:eastAsia="Arial" w:hAnsi="Arial"/>
          <w:sz w:val="24"/>
          <w:szCs w:val="24"/>
          <w:rtl w:val="0"/>
        </w:rPr>
        <w:t xml:space="preserve"> de febrero de 2020.</w:t>
      </w:r>
    </w:p>
    <w:p w:rsidR="00000000" w:rsidDel="00000000" w:rsidP="00000000" w:rsidRDefault="00000000" w:rsidRPr="00000000" w14:paraId="0000001E">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1F">
      <w:pPr>
        <w:spacing w:line="276" w:lineRule="auto"/>
        <w:ind w:left="425.19685039370086" w:right="138.54330708661507"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r>
    </w:p>
    <w:p w:rsidR="00000000" w:rsidDel="00000000" w:rsidP="00000000" w:rsidRDefault="00000000" w:rsidRPr="00000000" w14:paraId="00000021">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Índice de tablas y figuras</w:t>
      </w:r>
    </w:p>
    <w:p w:rsidR="00000000" w:rsidDel="00000000" w:rsidP="00000000" w:rsidRDefault="00000000" w:rsidRPr="00000000" w14:paraId="00000022">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r>
    </w:p>
    <w:p w:rsidR="00000000" w:rsidDel="00000000" w:rsidP="00000000" w:rsidRDefault="00000000" w:rsidRPr="00000000" w14:paraId="0000002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numPr>
          <w:ilvl w:val="0"/>
          <w:numId w:val="3"/>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25">
      <w:pPr>
        <w:spacing w:line="276" w:lineRule="auto"/>
        <w:ind w:left="144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numPr>
          <w:ilvl w:val="0"/>
          <w:numId w:val="3"/>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Marco normativo </w:t>
      </w:r>
      <w:r w:rsidDel="00000000" w:rsidR="00000000" w:rsidRPr="00000000">
        <w:rPr>
          <w:rtl w:val="0"/>
        </w:rPr>
      </w:r>
    </w:p>
    <w:p w:rsidR="00000000" w:rsidDel="00000000" w:rsidP="00000000" w:rsidRDefault="00000000" w:rsidRPr="00000000" w14:paraId="00000027">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y el Sistema de Apreciación</w:t>
      </w:r>
    </w:p>
    <w:p w:rsidR="00000000" w:rsidDel="00000000" w:rsidP="00000000" w:rsidRDefault="00000000" w:rsidRPr="00000000" w14:paraId="00000028">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2.2. Perfiles, criterios e indicadores  </w:t>
      </w:r>
    </w:p>
    <w:p w:rsidR="00000000" w:rsidDel="00000000" w:rsidP="00000000" w:rsidRDefault="00000000" w:rsidRPr="00000000" w14:paraId="00000029">
      <w:pPr>
        <w:spacing w:line="276" w:lineRule="auto"/>
        <w:ind w:left="992.1259842519685"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numPr>
          <w:ilvl w:val="0"/>
          <w:numId w:val="3"/>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Referentes teóricos</w:t>
      </w:r>
      <w:r w:rsidDel="00000000" w:rsidR="00000000" w:rsidRPr="00000000">
        <w:rPr>
          <w:rtl w:val="0"/>
        </w:rPr>
      </w:r>
    </w:p>
    <w:p w:rsidR="00000000" w:rsidDel="00000000" w:rsidP="00000000" w:rsidRDefault="00000000" w:rsidRPr="00000000" w14:paraId="0000002B">
      <w:pPr>
        <w:spacing w:line="276" w:lineRule="auto"/>
        <w:ind w:left="144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numPr>
          <w:ilvl w:val="0"/>
          <w:numId w:val="3"/>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2D">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numPr>
          <w:ilvl w:val="0"/>
          <w:numId w:val="3"/>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o Apéndice</w:t>
      </w:r>
    </w:p>
    <w:p w:rsidR="00000000" w:rsidDel="00000000" w:rsidP="00000000" w:rsidRDefault="00000000" w:rsidRPr="00000000" w14:paraId="0000002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figuras y tablas</w:t>
      </w:r>
    </w:p>
    <w:p w:rsidR="00000000" w:rsidDel="00000000" w:rsidP="00000000" w:rsidRDefault="00000000" w:rsidRPr="00000000" w14:paraId="0000003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52">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53">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54">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55">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56">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57">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58">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59">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5A">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5B">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5C">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5D">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5E">
      <w:pPr>
        <w:spacing w:line="276" w:lineRule="auto"/>
        <w:ind w:left="42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5F">
      <w:pPr>
        <w:spacing w:line="276" w:lineRule="auto"/>
        <w:ind w:left="0" w:right="563.7401574803164"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60">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w:t>
      </w:r>
      <w:r w:rsidDel="00000000" w:rsidR="00000000" w:rsidRPr="00000000">
        <w:rPr>
          <w:rFonts w:ascii="Arial" w:cs="Arial" w:eastAsia="Arial" w:hAnsi="Arial"/>
          <w:sz w:val="24"/>
          <w:szCs w:val="24"/>
          <w:rtl w:val="0"/>
        </w:rPr>
        <w:t xml:space="preserve">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61">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rsidR="00000000" w:rsidDel="00000000" w:rsidP="00000000" w:rsidRDefault="00000000" w:rsidRPr="00000000" w14:paraId="00000062">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presenta el Marco Referencial donde se detallan los referentes normativos y teóricos que subyacen al Instrumento de valoración de conocimientos y aptitudes, uno de los instrumentos de apreciación cuya aplicación y calificación se considera parte del Proceso de Selección para la promoción horizontal, en el que participan docentes en educación especial para obtener un estímulo económico dentro de su función. Este instrumento tiene como objetivo principal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rsidR="00000000" w:rsidDel="00000000" w:rsidP="00000000" w:rsidRDefault="00000000" w:rsidRPr="00000000" w14:paraId="00000063">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se caracteriza por ser una prueba objetiva de opción múltiple,  desarrollada bajo el enfoque metodológico planteado por los modelos de diagnóstico cognitivo con una extensión de 60 ítems orientados a la medición de aspectos comunes a la práctica cotidiana del personal con funciones de docente en educación especial.</w:t>
      </w:r>
    </w:p>
    <w:p w:rsidR="00000000" w:rsidDel="00000000" w:rsidP="00000000" w:rsidRDefault="00000000" w:rsidRPr="00000000" w14:paraId="00000064">
      <w:pPr>
        <w:spacing w:line="360" w:lineRule="auto"/>
        <w:ind w:left="425.19685039370086" w:right="563.740157480316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spacing w:line="360" w:lineRule="auto"/>
        <w:ind w:left="425.19685039370086"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7">
      <w:pPr>
        <w:spacing w:line="276" w:lineRule="auto"/>
        <w:ind w:left="0" w:right="138.54330708661507" w:firstLine="0"/>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8">
      <w:pPr>
        <w:spacing w:line="276"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6A">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6B">
      <w:pPr>
        <w:spacing w:line="360" w:lineRule="auto"/>
        <w:ind w:right="138"/>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r w:rsidDel="00000000" w:rsidR="00000000" w:rsidRPr="00000000">
        <w:rPr>
          <w:rtl w:val="0"/>
        </w:rPr>
      </w:r>
    </w:p>
    <w:p w:rsidR="00000000" w:rsidDel="00000000" w:rsidP="00000000" w:rsidRDefault="00000000" w:rsidRPr="00000000" w14:paraId="0000006C">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line="360" w:lineRule="auto"/>
        <w:ind w:left="0" w:right="138.5433070866150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6F">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70">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71">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72">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73">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74">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 </w:t>
      </w:r>
      <w:r w:rsidDel="00000000" w:rsidR="00000000" w:rsidRPr="00000000">
        <w:rPr>
          <w:rFonts w:ascii="Arial" w:cs="Arial" w:eastAsia="Arial" w:hAnsi="Arial"/>
          <w:sz w:val="24"/>
          <w:szCs w:val="24"/>
          <w:rtl w:val="0"/>
        </w:rPr>
        <w:t xml:space="preserve">y prioriza la necesidad de garantizar la falta de sesgos, prejuicios o tratamientos diferenciados.</w:t>
      </w:r>
    </w:p>
    <w:p w:rsidR="00000000" w:rsidDel="00000000" w:rsidP="00000000" w:rsidRDefault="00000000" w:rsidRPr="00000000" w14:paraId="00000075">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76">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77">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78">
      <w:pPr>
        <w:numPr>
          <w:ilvl w:val="0"/>
          <w:numId w:val="2"/>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 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79">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promoción horizontal dentro de la función docente en educación especial, el SISAP plantea la aplicación del Instrumento de valoración de conocimientos y aptitudes, en conjunto con un proyecto de seguimiento y una  entrevista sobre dicho proyecto de seguimiento</w:t>
      </w:r>
    </w:p>
    <w:p w:rsidR="00000000" w:rsidDel="00000000" w:rsidP="00000000" w:rsidRDefault="00000000" w:rsidRPr="00000000" w14:paraId="0000007A">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7C">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w:t>
      </w:r>
      <w:r w:rsidDel="00000000" w:rsidR="00000000" w:rsidRPr="00000000">
        <w:rPr>
          <w:rFonts w:ascii="Arial" w:cs="Arial" w:eastAsia="Arial" w:hAnsi="Arial"/>
          <w:color w:val="ff0000"/>
          <w:sz w:val="24"/>
          <w:szCs w:val="24"/>
          <w:rtl w:val="0"/>
        </w:rPr>
        <w:t xml:space="preserve">(SEP, 2019a)</w:t>
      </w:r>
      <w:r w:rsidDel="00000000" w:rsidR="00000000" w:rsidRPr="00000000">
        <w:rPr>
          <w:rFonts w:ascii="Arial" w:cs="Arial" w:eastAsia="Arial" w:hAnsi="Arial"/>
          <w:sz w:val="24"/>
          <w:szCs w:val="24"/>
          <w:rtl w:val="0"/>
        </w:rPr>
        <w:t xml:space="preserve">, que marcan los puntos de inflexión dentro de la trayectoria docente, así como definir los Perfiles, Criterios e Indicadores </w:t>
      </w:r>
      <w:r w:rsidDel="00000000" w:rsidR="00000000" w:rsidRPr="00000000">
        <w:rPr>
          <w:rFonts w:ascii="Arial" w:cs="Arial" w:eastAsia="Arial" w:hAnsi="Arial"/>
          <w:color w:val="ff0000"/>
          <w:sz w:val="24"/>
          <w:szCs w:val="24"/>
          <w:rtl w:val="0"/>
        </w:rPr>
        <w:t xml:space="preserve">(SEP, 2019b)</w:t>
      </w:r>
      <w:r w:rsidDel="00000000" w:rsidR="00000000" w:rsidRPr="00000000">
        <w:rPr>
          <w:rFonts w:ascii="Arial" w:cs="Arial" w:eastAsia="Arial" w:hAnsi="Arial"/>
          <w:sz w:val="24"/>
          <w:szCs w:val="24"/>
          <w:rtl w:val="0"/>
        </w:rPr>
        <w:t xml:space="preserve">,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7D">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del Instrumento de valoración de conocimientos y aptitudes docentes aplicado como parte del proceso de selección para la promoción horizontal dentro de la función docente en educación especial, se toma como referencia el Perfil profesional expuesto en el </w:t>
      </w:r>
      <w:r w:rsidDel="00000000" w:rsidR="00000000" w:rsidRPr="00000000">
        <w:rPr>
          <w:rFonts w:ascii="Arial" w:cs="Arial" w:eastAsia="Arial" w:hAnsi="Arial"/>
          <w:i w:val="1"/>
          <w:sz w:val="24"/>
          <w:szCs w:val="24"/>
          <w:rtl w:val="0"/>
        </w:rPr>
        <w:t xml:space="preserve">Marco para la excelencia en la enseñanza y la gestión escolar en Educación Básica </w:t>
      </w:r>
      <w:r w:rsidDel="00000000" w:rsidR="00000000" w:rsidRPr="00000000">
        <w:rPr>
          <w:rFonts w:ascii="Arial" w:cs="Arial" w:eastAsia="Arial" w:hAnsi="Arial"/>
          <w:sz w:val="24"/>
          <w:szCs w:val="24"/>
          <w:rtl w:val="0"/>
        </w:rPr>
        <w:t xml:space="preserve">(SEP, 2019b) y considera la medición de los siguientes dominios, criterios e indicadores:</w:t>
      </w:r>
    </w:p>
    <w:p w:rsidR="00000000" w:rsidDel="00000000" w:rsidP="00000000" w:rsidRDefault="00000000" w:rsidRPr="00000000" w14:paraId="0000007E">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Dominio I. Asume su quehacer profesional con apego a los principios filosóficos, éticos y legales de la educación mexicana.</w:t>
      </w:r>
    </w:p>
    <w:p w:rsidR="00000000" w:rsidDel="00000000" w:rsidP="00000000" w:rsidRDefault="00000000" w:rsidRPr="00000000" w14:paraId="0000007F">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1.1. Asume en su quehacer docente el valor de la educación como un derecho de niñas, niños y adolescentes para su desarrollo integral y bienestar, a la vez que es un medio para la transformación y mejoramiento social del país.</w:t>
      </w:r>
    </w:p>
    <w:p w:rsidR="00000000" w:rsidDel="00000000" w:rsidP="00000000" w:rsidRDefault="00000000" w:rsidRPr="00000000" w14:paraId="00000080">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1.2. Realiza su quehacer docente considerando que la interculturalidad favorece la convivencia armónica basada en el respeto y aprecio a la diversidad en todas sus expresiones.</w:t>
      </w:r>
    </w:p>
    <w:p w:rsidR="00000000" w:rsidDel="00000000" w:rsidP="00000000" w:rsidRDefault="00000000" w:rsidRPr="00000000" w14:paraId="00000081">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1.3. Asume su responsabilidad para participar en procesos de formación continua y superación profesional para fortalecer su ejercicio docente y contribuir a la mejora educativa.</w:t>
      </w:r>
    </w:p>
    <w:p w:rsidR="00000000" w:rsidDel="00000000" w:rsidP="00000000" w:rsidRDefault="00000000" w:rsidRPr="00000000" w14:paraId="00000082">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Dominio II. Conoce a sus alumnos para brindarles una atención educativa con inclusión, equidad y excelencia. </w:t>
      </w:r>
    </w:p>
    <w:p w:rsidR="00000000" w:rsidDel="00000000" w:rsidP="00000000" w:rsidRDefault="00000000" w:rsidRPr="00000000" w14:paraId="00000083">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2.1. Conoce a sus alumnos para desarrollar su quehacer docente de forma pertinente y contextualizada.</w:t>
      </w:r>
    </w:p>
    <w:p w:rsidR="00000000" w:rsidDel="00000000" w:rsidP="00000000" w:rsidRDefault="00000000" w:rsidRPr="00000000" w14:paraId="00000084">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2.2. Desarrolla estrategias que le permiten conocer a sus alumnos y brindarles una atención educativa equitativa e incluyente.</w:t>
      </w:r>
    </w:p>
    <w:p w:rsidR="00000000" w:rsidDel="00000000" w:rsidP="00000000" w:rsidRDefault="00000000" w:rsidRPr="00000000" w14:paraId="00000085">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2.3. Propicia la participación de todos los alumnos y su aprendizaje más allá del aula y la escuela.</w:t>
      </w:r>
    </w:p>
    <w:p w:rsidR="00000000" w:rsidDel="00000000" w:rsidP="00000000" w:rsidRDefault="00000000" w:rsidRPr="00000000" w14:paraId="00000086">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Dominio III. Genera ambientes favorables para el aprendizaje y la participación de todas las niñas, los niños o los adolescentes.</w:t>
      </w:r>
    </w:p>
    <w:p w:rsidR="00000000" w:rsidDel="00000000" w:rsidP="00000000" w:rsidRDefault="00000000" w:rsidRPr="00000000" w14:paraId="00000087">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3.1. Prepara el trabajo pedagógico para lograr que todos los alumnos aprendan.</w:t>
      </w:r>
    </w:p>
    <w:p w:rsidR="00000000" w:rsidDel="00000000" w:rsidP="00000000" w:rsidRDefault="00000000" w:rsidRPr="00000000" w14:paraId="00000088">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3.2. Utiliza un repertorio amplio y diverso de estrategias, actividades y materiales didácticos acordes con las capacidades y necesidades de aprendizaje de sus alumnos.</w:t>
      </w:r>
    </w:p>
    <w:p w:rsidR="00000000" w:rsidDel="00000000" w:rsidP="00000000" w:rsidRDefault="00000000" w:rsidRPr="00000000" w14:paraId="00000089">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3.3. Desarrolla el trabajo pedagógico con el grupo escolar de modo que favorece el aprendizaje, la participación y el bienestar de todos los alumnos.</w:t>
      </w:r>
    </w:p>
    <w:p w:rsidR="00000000" w:rsidDel="00000000" w:rsidP="00000000" w:rsidRDefault="00000000" w:rsidRPr="00000000" w14:paraId="0000008A">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3.4. Evalúa de manera permanente el desempeño de los alumnos, a través de diversas estrategias para valorar los aprendizajes y su intervención docente.</w:t>
      </w:r>
    </w:p>
    <w:p w:rsidR="00000000" w:rsidDel="00000000" w:rsidP="00000000" w:rsidRDefault="00000000" w:rsidRPr="00000000" w14:paraId="0000008B">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Dominio IV. Participa y colabora en la transformación y mejora de la escuela y la comunidad</w:t>
      </w:r>
    </w:p>
    <w:p w:rsidR="00000000" w:rsidDel="00000000" w:rsidP="00000000" w:rsidRDefault="00000000" w:rsidRPr="00000000" w14:paraId="0000008C">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4.1. Participa en el trabajo de la escuela para el logro de los propósitos educativos.</w:t>
      </w:r>
    </w:p>
    <w:p w:rsidR="00000000" w:rsidDel="00000000" w:rsidP="00000000" w:rsidRDefault="00000000" w:rsidRPr="00000000" w14:paraId="0000008D">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4.2. Contribuye en la construcción de una escuela que tiene una cultura de colaboración orientada hacia el aprendizaje entre pares y la mejora de la práctica docente.</w:t>
      </w:r>
    </w:p>
    <w:p w:rsidR="00000000" w:rsidDel="00000000" w:rsidP="00000000" w:rsidRDefault="00000000" w:rsidRPr="00000000" w14:paraId="0000008E">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4.3. Involucra a las familias de sus alumnos y a la comunidad en la tarea educativa de la escuela.</w:t>
      </w:r>
    </w:p>
    <w:p w:rsidR="00000000" w:rsidDel="00000000" w:rsidP="00000000" w:rsidRDefault="00000000" w:rsidRPr="00000000" w14:paraId="0000008F">
      <w:pPr>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spacing w:line="360" w:lineRule="auto"/>
        <w:ind w:left="708.6614173228347"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6">
      <w:pPr>
        <w:spacing w:line="276" w:lineRule="auto"/>
        <w:ind w:right="138.54330708661507"/>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7">
      <w:pPr>
        <w:spacing w:line="276" w:lineRule="auto"/>
        <w:ind w:right="138.54330708661507"/>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tl w:val="0"/>
        </w:rPr>
      </w:r>
    </w:p>
    <w:p w:rsidR="00000000" w:rsidDel="00000000" w:rsidP="00000000" w:rsidRDefault="00000000" w:rsidRPr="00000000" w14:paraId="00000098">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000000" w:rsidDel="00000000" w:rsidP="00000000" w:rsidRDefault="00000000" w:rsidRPr="00000000" w14:paraId="00000099">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rsidR="00000000" w:rsidDel="00000000" w:rsidP="00000000" w:rsidRDefault="00000000" w:rsidRPr="00000000" w14:paraId="0000009A">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dominios propuestos en los perfiles profesionales empatan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rsidR="00000000" w:rsidDel="00000000" w:rsidP="00000000" w:rsidRDefault="00000000" w:rsidRPr="00000000" w14:paraId="0000009B">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rsidR="00000000" w:rsidDel="00000000" w:rsidP="00000000" w:rsidRDefault="00000000" w:rsidRPr="00000000" w14:paraId="0000009C">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sidDel="00000000" w:rsidR="00000000" w:rsidRPr="00000000">
        <w:rPr>
          <w:rFonts w:ascii="Arial" w:cs="Arial" w:eastAsia="Arial" w:hAnsi="Arial"/>
          <w:color w:val="222222"/>
          <w:sz w:val="24"/>
          <w:szCs w:val="24"/>
          <w:rtl w:val="0"/>
        </w:rPr>
        <w:t xml:space="preserve">Montero, Monfils, Wang, Yen, Julian &amp; Moody, 2003; </w:t>
      </w:r>
      <w:r w:rsidDel="00000000" w:rsidR="00000000" w:rsidRPr="00000000">
        <w:rPr>
          <w:rFonts w:ascii="Arial" w:cs="Arial" w:eastAsia="Arial" w:hAnsi="Arial"/>
          <w:sz w:val="24"/>
          <w:szCs w:val="24"/>
          <w:rtl w:val="0"/>
        </w:rPr>
        <w:t xml:space="preserve">Jang, 2009; </w:t>
      </w:r>
      <w:r w:rsidDel="00000000" w:rsidR="00000000" w:rsidRPr="00000000">
        <w:rPr>
          <w:rFonts w:ascii="Arial" w:cs="Arial" w:eastAsia="Arial" w:hAnsi="Arial"/>
          <w:color w:val="222222"/>
          <w:sz w:val="24"/>
          <w:szCs w:val="24"/>
          <w:rtl w:val="0"/>
        </w:rPr>
        <w:t xml:space="preserve">Lee &amp; Sawaki, 2009; Ketterlin-Geller &amp; Tovanoff, 2009; Li, 2011; Li, Hunter &amp; Lei, 2016; Ravand, 2016)</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D">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habilidades a responder por los aspirantes a obtener una promoción horizontal dentro de su función docente en educación especial, incorpora un módulo general que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rsidR="00000000" w:rsidDel="00000000" w:rsidP="00000000" w:rsidRDefault="00000000" w:rsidRPr="00000000" w14:paraId="0000009E">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incorpora también un módulo específico para valorar las habilidades y conocimientos que se relacionan de manera particular con el ejercicio de la función docente en educación especial, que requiere del aspirante el estar familiarizado con el vasto conjunto de recursos y estrategias diseñadas para la atención de estudiantes con necesidades educativas especiales, así como una alta sensibilidad para la detección de estas necesidades y la flexibilidad necesaria para ajustar su planeación en atención a las mismas, promoviendo en todo momento un ambiente de aprendizaje equitativo, inclusivo y en contacto con las características y necesidades de los estudiantes, (Manzano, 1994; Castanedo, 1997; Redruello &amp; Sánchez, 2002; </w:t>
      </w:r>
      <w:r w:rsidDel="00000000" w:rsidR="00000000" w:rsidRPr="00000000">
        <w:rPr>
          <w:rFonts w:ascii="Arial" w:cs="Arial" w:eastAsia="Arial" w:hAnsi="Arial"/>
          <w:color w:val="222222"/>
          <w:sz w:val="24"/>
          <w:szCs w:val="24"/>
          <w:highlight w:val="white"/>
          <w:rtl w:val="0"/>
        </w:rPr>
        <w:t xml:space="preserve">Schewe, 2017</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F">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widowControl w:val="0"/>
        <w:spacing w:line="360" w:lineRule="auto"/>
        <w:ind w:right="138.54330708661507"/>
        <w:jc w:val="both"/>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AE">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Abreu, O. L. L., Muñoz, J. J. G., Monter, I. B., &amp; Cobas Vilches, M. E. (2015). La mejora continua: objetivo determinante para alcanzar la excelencia en instituciones de educación superior. </w:t>
      </w:r>
      <w:r w:rsidDel="00000000" w:rsidR="00000000" w:rsidRPr="00000000">
        <w:rPr>
          <w:rFonts w:ascii="Arial" w:cs="Arial" w:eastAsia="Arial" w:hAnsi="Arial"/>
          <w:i w:val="1"/>
          <w:color w:val="222222"/>
          <w:sz w:val="24"/>
          <w:szCs w:val="24"/>
          <w:rtl w:val="0"/>
        </w:rPr>
        <w:t xml:space="preserve">Revista Educación Médica del Centro</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i w:val="1"/>
          <w:color w:val="222222"/>
          <w:sz w:val="24"/>
          <w:szCs w:val="24"/>
          <w:rtl w:val="0"/>
        </w:rPr>
        <w:t xml:space="preserve">7</w:t>
      </w:r>
      <w:r w:rsidDel="00000000" w:rsidR="00000000" w:rsidRPr="00000000">
        <w:rPr>
          <w:rFonts w:ascii="Arial" w:cs="Arial" w:eastAsia="Arial" w:hAnsi="Arial"/>
          <w:color w:val="222222"/>
          <w:sz w:val="24"/>
          <w:szCs w:val="24"/>
          <w:rtl w:val="0"/>
        </w:rPr>
        <w:t xml:space="preserve">(4), 196-215.</w:t>
      </w:r>
    </w:p>
    <w:p w:rsidR="00000000" w:rsidDel="00000000" w:rsidP="00000000" w:rsidRDefault="00000000" w:rsidRPr="00000000" w14:paraId="000000AF">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Blanco, R. (2006). La equidad y la inclusión social: uno de los desafíos de la educación y la escuela hoy. </w:t>
      </w:r>
      <w:r w:rsidDel="00000000" w:rsidR="00000000" w:rsidRPr="00000000">
        <w:rPr>
          <w:rFonts w:ascii="Arial" w:cs="Arial" w:eastAsia="Arial" w:hAnsi="Arial"/>
          <w:i w:val="1"/>
          <w:color w:val="222222"/>
          <w:sz w:val="24"/>
          <w:szCs w:val="24"/>
          <w:highlight w:val="white"/>
          <w:rtl w:val="0"/>
        </w:rPr>
        <w:t xml:space="preserve">REICE. Revista Iberoamericana sobre Calidad, Eficacia y Cambio en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4</w:t>
      </w:r>
      <w:r w:rsidDel="00000000" w:rsidR="00000000" w:rsidRPr="00000000">
        <w:rPr>
          <w:rFonts w:ascii="Arial" w:cs="Arial" w:eastAsia="Arial" w:hAnsi="Arial"/>
          <w:color w:val="222222"/>
          <w:sz w:val="24"/>
          <w:szCs w:val="24"/>
          <w:highlight w:val="white"/>
          <w:rtl w:val="0"/>
        </w:rPr>
        <w:t xml:space="preserve">(3), 1-15.</w:t>
      </w:r>
    </w:p>
    <w:p w:rsidR="00000000" w:rsidDel="00000000" w:rsidP="00000000" w:rsidRDefault="00000000" w:rsidRPr="00000000" w14:paraId="000000B0">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Castanedo, C. (1997). </w:t>
      </w:r>
      <w:r w:rsidDel="00000000" w:rsidR="00000000" w:rsidRPr="00000000">
        <w:rPr>
          <w:rFonts w:ascii="Arial" w:cs="Arial" w:eastAsia="Arial" w:hAnsi="Arial"/>
          <w:i w:val="1"/>
          <w:color w:val="222222"/>
          <w:sz w:val="24"/>
          <w:szCs w:val="24"/>
          <w:highlight w:val="white"/>
          <w:rtl w:val="0"/>
        </w:rPr>
        <w:t xml:space="preserve">Bases psicopedagógicas de la educación especial</w:t>
      </w:r>
      <w:r w:rsidDel="00000000" w:rsidR="00000000" w:rsidRPr="00000000">
        <w:rPr>
          <w:rFonts w:ascii="Arial" w:cs="Arial" w:eastAsia="Arial" w:hAnsi="Arial"/>
          <w:color w:val="222222"/>
          <w:sz w:val="24"/>
          <w:szCs w:val="24"/>
          <w:highlight w:val="white"/>
          <w:rtl w:val="0"/>
        </w:rPr>
        <w:t xml:space="preserve">. Universidad de Oviedo.</w:t>
      </w:r>
    </w:p>
    <w:p w:rsidR="00000000" w:rsidDel="00000000" w:rsidP="00000000" w:rsidRDefault="00000000" w:rsidRPr="00000000" w14:paraId="000000B1">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Cohen, Y. (2019). The Handbook of Cognition and Assessment; Frameworks, Methodologies, and Applications.</w:t>
      </w:r>
    </w:p>
    <w:p w:rsidR="00000000" w:rsidDel="00000000" w:rsidP="00000000" w:rsidRDefault="00000000" w:rsidRPr="00000000" w14:paraId="000000B2">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Coronas, T. T. (2003). ¿ La mejor estrategia docente? La gestión del conocimiento. </w:t>
      </w:r>
      <w:r w:rsidDel="00000000" w:rsidR="00000000" w:rsidRPr="00000000">
        <w:rPr>
          <w:rFonts w:ascii="Arial" w:cs="Arial" w:eastAsia="Arial" w:hAnsi="Arial"/>
          <w:i w:val="1"/>
          <w:color w:val="222222"/>
          <w:sz w:val="24"/>
          <w:szCs w:val="24"/>
          <w:highlight w:val="white"/>
          <w:rtl w:val="0"/>
        </w:rPr>
        <w:t xml:space="preserve">Educar</w:t>
      </w:r>
      <w:r w:rsidDel="00000000" w:rsidR="00000000" w:rsidRPr="00000000">
        <w:rPr>
          <w:rFonts w:ascii="Arial" w:cs="Arial" w:eastAsia="Arial" w:hAnsi="Arial"/>
          <w:color w:val="222222"/>
          <w:sz w:val="24"/>
          <w:szCs w:val="24"/>
          <w:highlight w:val="white"/>
          <w:rtl w:val="0"/>
        </w:rPr>
        <w:t xml:space="preserve">, (32), 9-24.</w:t>
      </w:r>
    </w:p>
    <w:p w:rsidR="00000000" w:rsidDel="00000000" w:rsidP="00000000" w:rsidRDefault="00000000" w:rsidRPr="00000000" w14:paraId="000000B3">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Crisol-Moya, E., &amp; Romero López, M. (2014). Práctica docente versus ética docente. Hacia la mejora de la práctica docente a partir de la ética profesional.</w:t>
      </w:r>
    </w:p>
    <w:p w:rsidR="00000000" w:rsidDel="00000000" w:rsidP="00000000" w:rsidRDefault="00000000" w:rsidRPr="00000000" w14:paraId="000000B4">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Del Rey, R., Ruiz, R. O., &amp; Feria, I. (2009). Convivencia escolar: fortaleza de la comunidad educativa y protección ante la conflictividad escolar. </w:t>
      </w:r>
      <w:r w:rsidDel="00000000" w:rsidR="00000000" w:rsidRPr="00000000">
        <w:rPr>
          <w:rFonts w:ascii="Arial" w:cs="Arial" w:eastAsia="Arial" w:hAnsi="Arial"/>
          <w:i w:val="1"/>
          <w:color w:val="222222"/>
          <w:sz w:val="24"/>
          <w:szCs w:val="24"/>
          <w:highlight w:val="white"/>
          <w:rtl w:val="0"/>
        </w:rPr>
        <w:t xml:space="preserve">Revista interuniversitaria de formación del profesorado</w:t>
      </w:r>
      <w:r w:rsidDel="00000000" w:rsidR="00000000" w:rsidRPr="00000000">
        <w:rPr>
          <w:rFonts w:ascii="Arial" w:cs="Arial" w:eastAsia="Arial" w:hAnsi="Arial"/>
          <w:color w:val="222222"/>
          <w:sz w:val="24"/>
          <w:szCs w:val="24"/>
          <w:highlight w:val="white"/>
          <w:rtl w:val="0"/>
        </w:rPr>
        <w:t xml:space="preserve">, (66), 159-180.</w:t>
      </w:r>
    </w:p>
    <w:p w:rsidR="00000000" w:rsidDel="00000000" w:rsidP="00000000" w:rsidRDefault="00000000" w:rsidRPr="00000000" w14:paraId="000000B5">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B6">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B7">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Díaz, F., &amp; Hernández, G. (2002). </w:t>
      </w:r>
      <w:r w:rsidDel="00000000" w:rsidR="00000000" w:rsidRPr="00000000">
        <w:rPr>
          <w:rFonts w:ascii="Arial" w:cs="Arial" w:eastAsia="Arial" w:hAnsi="Arial"/>
          <w:i w:val="1"/>
          <w:color w:val="222222"/>
          <w:sz w:val="24"/>
          <w:szCs w:val="24"/>
          <w:highlight w:val="white"/>
          <w:rtl w:val="0"/>
        </w:rPr>
        <w:t xml:space="preserve">Estrategias docentes para un aprendizaje significativo</w:t>
      </w:r>
      <w:r w:rsidDel="00000000" w:rsidR="00000000" w:rsidRPr="00000000">
        <w:rPr>
          <w:rFonts w:ascii="Arial" w:cs="Arial" w:eastAsia="Arial" w:hAnsi="Arial"/>
          <w:color w:val="222222"/>
          <w:sz w:val="24"/>
          <w:szCs w:val="24"/>
          <w:highlight w:val="white"/>
          <w:rtl w:val="0"/>
        </w:rPr>
        <w:t xml:space="preserve"> (Vol. 2). México: McGraw-Hill.</w:t>
      </w:r>
      <w:r w:rsidDel="00000000" w:rsidR="00000000" w:rsidRPr="00000000">
        <w:rPr>
          <w:rtl w:val="0"/>
        </w:rPr>
      </w:r>
    </w:p>
    <w:p w:rsidR="00000000" w:rsidDel="00000000" w:rsidP="00000000" w:rsidRDefault="00000000" w:rsidRPr="00000000" w14:paraId="000000B8">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Echeita Sarrionandía, G., &amp; Sandoval Mena, M. (2002). Educación inclusiva o educación sin exclusiones. </w:t>
      </w:r>
      <w:r w:rsidDel="00000000" w:rsidR="00000000" w:rsidRPr="00000000">
        <w:rPr>
          <w:rFonts w:ascii="Arial" w:cs="Arial" w:eastAsia="Arial" w:hAnsi="Arial"/>
          <w:i w:val="1"/>
          <w:color w:val="222222"/>
          <w:sz w:val="24"/>
          <w:szCs w:val="24"/>
          <w:highlight w:val="white"/>
          <w:rtl w:val="0"/>
        </w:rPr>
        <w:t xml:space="preserve">Revista de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327</w:t>
      </w:r>
      <w:r w:rsidDel="00000000" w:rsidR="00000000" w:rsidRPr="00000000">
        <w:rPr>
          <w:rFonts w:ascii="Arial" w:cs="Arial" w:eastAsia="Arial" w:hAnsi="Arial"/>
          <w:color w:val="222222"/>
          <w:sz w:val="24"/>
          <w:szCs w:val="24"/>
          <w:highlight w:val="white"/>
          <w:rtl w:val="0"/>
        </w:rPr>
        <w:t xml:space="preserve">, 31-48.</w:t>
      </w:r>
      <w:r w:rsidDel="00000000" w:rsidR="00000000" w:rsidRPr="00000000">
        <w:rPr>
          <w:rtl w:val="0"/>
        </w:rPr>
      </w:r>
    </w:p>
    <w:p w:rsidR="00000000" w:rsidDel="00000000" w:rsidP="00000000" w:rsidRDefault="00000000" w:rsidRPr="00000000" w14:paraId="000000B9">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Enguita, M. F. (1995). La profesión docente y la comunidad escolar. </w:t>
      </w:r>
      <w:r w:rsidDel="00000000" w:rsidR="00000000" w:rsidRPr="00000000">
        <w:rPr>
          <w:rFonts w:ascii="Arial" w:cs="Arial" w:eastAsia="Arial" w:hAnsi="Arial"/>
          <w:i w:val="1"/>
          <w:color w:val="222222"/>
          <w:sz w:val="24"/>
          <w:szCs w:val="24"/>
          <w:highlight w:val="white"/>
          <w:rtl w:val="0"/>
        </w:rPr>
        <w:t xml:space="preserve">Morata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BA">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Fernández Batanero, J. M. (2013). Competencias docentes y educación inclusiva. </w:t>
      </w:r>
      <w:r w:rsidDel="00000000" w:rsidR="00000000" w:rsidRPr="00000000">
        <w:rPr>
          <w:rFonts w:ascii="Arial" w:cs="Arial" w:eastAsia="Arial" w:hAnsi="Arial"/>
          <w:i w:val="1"/>
          <w:color w:val="222222"/>
          <w:sz w:val="24"/>
          <w:szCs w:val="24"/>
          <w:highlight w:val="white"/>
          <w:rtl w:val="0"/>
        </w:rPr>
        <w:t xml:space="preserve">Revista electrónica de investigación educativa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15</w:t>
      </w:r>
      <w:r w:rsidDel="00000000" w:rsidR="00000000" w:rsidRPr="00000000">
        <w:rPr>
          <w:rFonts w:ascii="Arial" w:cs="Arial" w:eastAsia="Arial" w:hAnsi="Arial"/>
          <w:color w:val="222222"/>
          <w:sz w:val="24"/>
          <w:szCs w:val="24"/>
          <w:highlight w:val="white"/>
          <w:rtl w:val="0"/>
        </w:rPr>
        <w:t xml:space="preserve">(2), 82-99.</w:t>
      </w:r>
    </w:p>
    <w:p w:rsidR="00000000" w:rsidDel="00000000" w:rsidP="00000000" w:rsidRDefault="00000000" w:rsidRPr="00000000" w14:paraId="000000BB">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sidDel="00000000" w:rsidR="00000000" w:rsidRPr="00000000">
        <w:rPr>
          <w:rFonts w:ascii="Arial" w:cs="Arial" w:eastAsia="Arial" w:hAnsi="Arial"/>
          <w:i w:val="1"/>
          <w:color w:val="222222"/>
          <w:sz w:val="24"/>
          <w:szCs w:val="24"/>
          <w:highlight w:val="white"/>
          <w:rtl w:val="0"/>
        </w:rPr>
        <w:t xml:space="preserve">RIEE. Revista Iberoamericana de Evaluación Educativa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BC">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Fullan, M. (2007). Educational reform as continuous improvement. </w:t>
      </w:r>
      <w:r w:rsidDel="00000000" w:rsidR="00000000" w:rsidRPr="00000000">
        <w:rPr>
          <w:rFonts w:ascii="Arial" w:cs="Arial" w:eastAsia="Arial" w:hAnsi="Arial"/>
          <w:i w:val="1"/>
          <w:color w:val="222222"/>
          <w:sz w:val="24"/>
          <w:szCs w:val="24"/>
          <w:rtl w:val="0"/>
        </w:rPr>
        <w:t xml:space="preserve">The keys to effective schools: Educational reform as continuous improvement</w:t>
      </w:r>
      <w:r w:rsidDel="00000000" w:rsidR="00000000" w:rsidRPr="00000000">
        <w:rPr>
          <w:rFonts w:ascii="Arial" w:cs="Arial" w:eastAsia="Arial" w:hAnsi="Arial"/>
          <w:color w:val="222222"/>
          <w:sz w:val="24"/>
          <w:szCs w:val="24"/>
          <w:rtl w:val="0"/>
        </w:rPr>
        <w:t xml:space="preserve">, 1-12.}</w:t>
      </w:r>
    </w:p>
    <w:p w:rsidR="00000000" w:rsidDel="00000000" w:rsidP="00000000" w:rsidRDefault="00000000" w:rsidRPr="00000000" w14:paraId="000000BD">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Hernández, N. C., &amp; Sanabria, G. T. (2012). La organización inteligente en un ambiente de aprendizaje: una exploración de sus aspectos generales. </w:t>
      </w:r>
      <w:r w:rsidDel="00000000" w:rsidR="00000000" w:rsidRPr="00000000">
        <w:rPr>
          <w:rFonts w:ascii="Arial" w:cs="Arial" w:eastAsia="Arial" w:hAnsi="Arial"/>
          <w:i w:val="1"/>
          <w:color w:val="222222"/>
          <w:sz w:val="24"/>
          <w:szCs w:val="24"/>
          <w:highlight w:val="white"/>
          <w:rtl w:val="0"/>
        </w:rPr>
        <w:t xml:space="preserve">AD-minister</w:t>
      </w:r>
      <w:r w:rsidDel="00000000" w:rsidR="00000000" w:rsidRPr="00000000">
        <w:rPr>
          <w:rFonts w:ascii="Arial" w:cs="Arial" w:eastAsia="Arial" w:hAnsi="Arial"/>
          <w:color w:val="222222"/>
          <w:sz w:val="24"/>
          <w:szCs w:val="24"/>
          <w:highlight w:val="white"/>
          <w:rtl w:val="0"/>
        </w:rPr>
        <w:t xml:space="preserve">, (21), 101-115.</w:t>
      </w:r>
      <w:r w:rsidDel="00000000" w:rsidR="00000000" w:rsidRPr="00000000">
        <w:rPr>
          <w:rtl w:val="0"/>
        </w:rPr>
      </w:r>
    </w:p>
    <w:p w:rsidR="00000000" w:rsidDel="00000000" w:rsidP="00000000" w:rsidRDefault="00000000" w:rsidRPr="00000000" w14:paraId="000000BE">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Ibáñez-Martín, J. A. (2013). Ética docente del siglo XXI: Nuevos desafíos. </w:t>
      </w:r>
      <w:r w:rsidDel="00000000" w:rsidR="00000000" w:rsidRPr="00000000">
        <w:rPr>
          <w:rFonts w:ascii="Arial" w:cs="Arial" w:eastAsia="Arial" w:hAnsi="Arial"/>
          <w:i w:val="1"/>
          <w:color w:val="222222"/>
          <w:sz w:val="24"/>
          <w:szCs w:val="24"/>
          <w:highlight w:val="white"/>
          <w:rtl w:val="0"/>
        </w:rPr>
        <w:t xml:space="preserve">Edetania. Estudios y propuestas socioeducativas</w:t>
      </w:r>
      <w:r w:rsidDel="00000000" w:rsidR="00000000" w:rsidRPr="00000000">
        <w:rPr>
          <w:rFonts w:ascii="Arial" w:cs="Arial" w:eastAsia="Arial" w:hAnsi="Arial"/>
          <w:color w:val="222222"/>
          <w:sz w:val="24"/>
          <w:szCs w:val="24"/>
          <w:highlight w:val="white"/>
          <w:rtl w:val="0"/>
        </w:rPr>
        <w:t xml:space="preserve">, (43), 17-31.</w:t>
      </w:r>
      <w:r w:rsidDel="00000000" w:rsidR="00000000" w:rsidRPr="00000000">
        <w:rPr>
          <w:rtl w:val="0"/>
        </w:rPr>
      </w:r>
    </w:p>
    <w:p w:rsidR="00000000" w:rsidDel="00000000" w:rsidP="00000000" w:rsidRDefault="00000000" w:rsidRPr="00000000" w14:paraId="000000BF">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Jang, E. E. (2009). Cognitive diagnostic assessment of L2 reading comprehension ability: Validity arguments for Fusion Model application to LanguEdge assessment. Language Testing, 26(1), 031-73.</w:t>
      </w:r>
    </w:p>
    <w:p w:rsidR="00000000" w:rsidDel="00000000" w:rsidP="00000000" w:rsidRDefault="00000000" w:rsidRPr="00000000" w14:paraId="000000C0">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Ketterlin-Geller, L. R., &amp; Yovanoff, P. (2009). Diagnostic assessments in mathematics to support instructional decision making. Practical Assessment, Research &amp; Evaluation, 14(16), 1-11.</w:t>
      </w:r>
    </w:p>
    <w:p w:rsidR="00000000" w:rsidDel="00000000" w:rsidP="00000000" w:rsidRDefault="00000000" w:rsidRPr="00000000" w14:paraId="000000C1">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Leighton, J. &amp; Gierl, M. (2007). Defining and evaluating models of cognition used in educational measurement to make inferences about examinees’ thinking processes. Educational Measurement: Issues and Practice, 26(2), 3-16.  </w:t>
      </w:r>
    </w:p>
    <w:p w:rsidR="00000000" w:rsidDel="00000000" w:rsidP="00000000" w:rsidRDefault="00000000" w:rsidRPr="00000000" w14:paraId="000000C2">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Lee, Y. W., &amp; Sawaki, Y. (2009). Application of three cognitive diagnosis models to ESL reading and listening assessments. Language Assessment Quarterly, 6(3), 239-263.</w:t>
      </w:r>
    </w:p>
    <w:p w:rsidR="00000000" w:rsidDel="00000000" w:rsidP="00000000" w:rsidRDefault="00000000" w:rsidRPr="00000000" w14:paraId="000000C3">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(2011). A cognitive diagnostic analysis of the MELAB reading test. Spaan Fellow, 9, 17-46.</w:t>
      </w:r>
    </w:p>
    <w:p w:rsidR="00000000" w:rsidDel="00000000" w:rsidP="00000000" w:rsidRDefault="00000000" w:rsidRPr="00000000" w14:paraId="000000C4">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Hunter, C. V., &amp; Lei, P. W. (2016). The selection of cognitive diagnostic models for a reading comprehension test. Language Testing, 33(3), 391-409.</w:t>
      </w:r>
    </w:p>
    <w:p w:rsidR="00000000" w:rsidDel="00000000" w:rsidP="00000000" w:rsidRDefault="00000000" w:rsidRPr="00000000" w14:paraId="000000C5">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Loughlin, C. E., &amp; Suina, J. H. (1997). </w:t>
      </w:r>
      <w:r w:rsidDel="00000000" w:rsidR="00000000" w:rsidRPr="00000000">
        <w:rPr>
          <w:rFonts w:ascii="Arial" w:cs="Arial" w:eastAsia="Arial" w:hAnsi="Arial"/>
          <w:i w:val="1"/>
          <w:color w:val="222222"/>
          <w:sz w:val="24"/>
          <w:szCs w:val="24"/>
          <w:highlight w:val="white"/>
          <w:rtl w:val="0"/>
        </w:rPr>
        <w:t xml:space="preserve">El ambiente de aprendizaje: diseño y organización</w:t>
      </w:r>
      <w:r w:rsidDel="00000000" w:rsidR="00000000" w:rsidRPr="00000000">
        <w:rPr>
          <w:rFonts w:ascii="Arial" w:cs="Arial" w:eastAsia="Arial" w:hAnsi="Arial"/>
          <w:color w:val="222222"/>
          <w:sz w:val="24"/>
          <w:szCs w:val="24"/>
          <w:highlight w:val="white"/>
          <w:rtl w:val="0"/>
        </w:rPr>
        <w:t xml:space="preserve"> (Vol. 3). Ediciones Morata.</w:t>
      </w:r>
    </w:p>
    <w:p w:rsidR="00000000" w:rsidDel="00000000" w:rsidP="00000000" w:rsidRDefault="00000000" w:rsidRPr="00000000" w14:paraId="000000C6">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Manzano, E. S. (1994). </w:t>
      </w:r>
      <w:r w:rsidDel="00000000" w:rsidR="00000000" w:rsidRPr="00000000">
        <w:rPr>
          <w:rFonts w:ascii="Arial" w:cs="Arial" w:eastAsia="Arial" w:hAnsi="Arial"/>
          <w:i w:val="1"/>
          <w:color w:val="222222"/>
          <w:sz w:val="24"/>
          <w:szCs w:val="24"/>
          <w:highlight w:val="white"/>
          <w:rtl w:val="0"/>
        </w:rPr>
        <w:t xml:space="preserve">Introducción a la educación especial</w:t>
      </w:r>
      <w:r w:rsidDel="00000000" w:rsidR="00000000" w:rsidRPr="00000000">
        <w:rPr>
          <w:rFonts w:ascii="Arial" w:cs="Arial" w:eastAsia="Arial" w:hAnsi="Arial"/>
          <w:color w:val="222222"/>
          <w:sz w:val="24"/>
          <w:szCs w:val="24"/>
          <w:highlight w:val="white"/>
          <w:rtl w:val="0"/>
        </w:rPr>
        <w:t xml:space="preserve">. Editorial Complutense.</w:t>
      </w:r>
    </w:p>
    <w:p w:rsidR="00000000" w:rsidDel="00000000" w:rsidP="00000000" w:rsidRDefault="00000000" w:rsidRPr="00000000" w14:paraId="000000C7">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Montero, D. H., Monfils, L., Wang, J., Yen, W. M., Julian, M. W., &amp; Moody, M. (2003). Investigation of the application of cognitive diagnostic testing to an end-of-course high school examination. In annual meeting of the National Council on Measurement in Education, Chicago, IL.</w:t>
      </w:r>
    </w:p>
    <w:p w:rsidR="00000000" w:rsidDel="00000000" w:rsidP="00000000" w:rsidRDefault="00000000" w:rsidRPr="00000000" w14:paraId="000000C8">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Navarro, E. M. (2010). </w:t>
      </w:r>
      <w:r w:rsidDel="00000000" w:rsidR="00000000" w:rsidRPr="00000000">
        <w:rPr>
          <w:rFonts w:ascii="Arial" w:cs="Arial" w:eastAsia="Arial" w:hAnsi="Arial"/>
          <w:i w:val="1"/>
          <w:color w:val="222222"/>
          <w:sz w:val="24"/>
          <w:szCs w:val="24"/>
          <w:highlight w:val="white"/>
          <w:rtl w:val="0"/>
        </w:rPr>
        <w:t xml:space="preserve">Ética profesional de los profesores</w:t>
      </w:r>
      <w:r w:rsidDel="00000000" w:rsidR="00000000" w:rsidRPr="00000000">
        <w:rPr>
          <w:rFonts w:ascii="Arial" w:cs="Arial" w:eastAsia="Arial" w:hAnsi="Arial"/>
          <w:color w:val="222222"/>
          <w:sz w:val="24"/>
          <w:szCs w:val="24"/>
          <w:highlight w:val="white"/>
          <w:rtl w:val="0"/>
        </w:rPr>
        <w:t xml:space="preserve">. Desclée de Brouwer.</w:t>
      </w:r>
      <w:r w:rsidDel="00000000" w:rsidR="00000000" w:rsidRPr="00000000">
        <w:rPr>
          <w:rtl w:val="0"/>
        </w:rPr>
      </w:r>
    </w:p>
    <w:p w:rsidR="00000000" w:rsidDel="00000000" w:rsidP="00000000" w:rsidRDefault="00000000" w:rsidRPr="00000000" w14:paraId="000000C9">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Picardo, O. Diccionario Enciclopédico de Ciencias de la Educación, San Salvador, Centro de Investigación Educativa/Colegio García Flamenco, 2005.</w:t>
      </w:r>
    </w:p>
    <w:p w:rsidR="00000000" w:rsidDel="00000000" w:rsidP="00000000" w:rsidRDefault="00000000" w:rsidRPr="00000000" w14:paraId="000000CA">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Ravand, H. (2016). Application of a cognitive diagnostic model to a high-stakes reading comprehension test. Journal of Psychoeducational Assessment, 34(8), 782-799.</w:t>
      </w:r>
    </w:p>
    <w:p w:rsidR="00000000" w:rsidDel="00000000" w:rsidP="00000000" w:rsidRDefault="00000000" w:rsidRPr="00000000" w14:paraId="000000CB">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Redruello, R. E. A., &amp; Sánchez, M. Á. (2002). </w:t>
      </w:r>
      <w:r w:rsidDel="00000000" w:rsidR="00000000" w:rsidRPr="00000000">
        <w:rPr>
          <w:rFonts w:ascii="Arial" w:cs="Arial" w:eastAsia="Arial" w:hAnsi="Arial"/>
          <w:i w:val="1"/>
          <w:color w:val="222222"/>
          <w:sz w:val="24"/>
          <w:szCs w:val="24"/>
          <w:highlight w:val="white"/>
          <w:rtl w:val="0"/>
        </w:rPr>
        <w:t xml:space="preserve">Educación especial: áreas curriculares para alumnos con necesidades educativas especiales</w:t>
      </w:r>
      <w:r w:rsidDel="00000000" w:rsidR="00000000" w:rsidRPr="00000000">
        <w:rPr>
          <w:rFonts w:ascii="Arial" w:cs="Arial" w:eastAsia="Arial" w:hAnsi="Arial"/>
          <w:color w:val="222222"/>
          <w:sz w:val="24"/>
          <w:szCs w:val="24"/>
          <w:highlight w:val="white"/>
          <w:rtl w:val="0"/>
        </w:rPr>
        <w:t xml:space="preserve">. Pearson Educación.</w:t>
      </w:r>
    </w:p>
    <w:p w:rsidR="00000000" w:rsidDel="00000000" w:rsidP="00000000" w:rsidRDefault="00000000" w:rsidRPr="00000000" w14:paraId="000000CC">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Schewe, C. L. (2017). Discapacidad, Educación Especial Y Educación Inclusiva Reflexiones necesarias/Disability, Special Education &amp; Inclusive Education. </w:t>
      </w:r>
      <w:r w:rsidDel="00000000" w:rsidR="00000000" w:rsidRPr="00000000">
        <w:rPr>
          <w:rFonts w:ascii="Arial" w:cs="Arial" w:eastAsia="Arial" w:hAnsi="Arial"/>
          <w:i w:val="1"/>
          <w:color w:val="222222"/>
          <w:sz w:val="24"/>
          <w:szCs w:val="24"/>
          <w:highlight w:val="white"/>
          <w:rtl w:val="0"/>
        </w:rPr>
        <w:t xml:space="preserve">Revista Internacional de Educación y Aprendizaje</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5</w:t>
      </w:r>
      <w:r w:rsidDel="00000000" w:rsidR="00000000" w:rsidRPr="00000000">
        <w:rPr>
          <w:rFonts w:ascii="Arial" w:cs="Arial" w:eastAsia="Arial" w:hAnsi="Arial"/>
          <w:color w:val="222222"/>
          <w:sz w:val="24"/>
          <w:szCs w:val="24"/>
          <w:highlight w:val="white"/>
          <w:rtl w:val="0"/>
        </w:rPr>
        <w:t xml:space="preserve">(1).</w:t>
      </w:r>
    </w:p>
    <w:p w:rsidR="00000000" w:rsidDel="00000000" w:rsidP="00000000" w:rsidRDefault="00000000" w:rsidRPr="00000000" w14:paraId="000000CD">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CE">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rsidR="00000000" w:rsidDel="00000000" w:rsidP="00000000" w:rsidRDefault="00000000" w:rsidRPr="00000000" w14:paraId="000000CF">
      <w:pPr>
        <w:spacing w:after="0" w:line="360" w:lineRule="auto"/>
        <w:ind w:left="72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1">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2">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3">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4">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5">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6">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D7">
      <w:pPr>
        <w:spacing w:line="276" w:lineRule="auto"/>
        <w:ind w:left="0" w:right="138.54330708661507" w:firstLine="0"/>
        <w:rPr>
          <w:rFonts w:ascii="Arial" w:cs="Arial" w:eastAsia="Arial" w:hAnsi="Arial"/>
          <w:b w:val="1"/>
          <w:sz w:val="30"/>
          <w:szCs w:val="30"/>
        </w:rPr>
      </w:pPr>
      <w:r w:rsidDel="00000000" w:rsidR="00000000" w:rsidRPr="00000000">
        <w:rPr>
          <w:rtl w:val="0"/>
        </w:rPr>
      </w:r>
    </w:p>
    <w:sectPr>
      <w:headerReference r:id="rId7" w:type="default"/>
      <w:pgSz w:h="15840" w:w="12240"/>
      <w:pgMar w:bottom="1417" w:top="1417" w:left="850.3937007874017" w:right="896.81102362204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26Jz8r4ypksmkvevIS5CbBlvHA==">AMUW2mWpNG9t1fLWyD+dD7o0ja7IRFi1FqvPuOdIHt4HMKC0bx4zep9e8EqihffQDx/QEwBTDciHxyWkfEueKAkGOcWQM08fMsbO//RUxWZ4iVo+AeWEBBLltH6IkugCP5tSVB8DicrTbU47yYnejWjrWkTjpwsrhDw1LfCIF596W0XF3zGbuSt7Xw02aOeoFD8KwkWJr2YF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