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docente en educación primaria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F">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6">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C">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E">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0">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primaria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primaria.</w:t>
      </w: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F">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1">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2">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3">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6">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7">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8">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dentro de la función docente en educación primaria,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A">
      <w:pPr>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horizontal dentro de la función docentes en educación primaria,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8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8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0">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1">
      <w:pPr>
        <w:spacing w:line="360"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 función como docente en educación primaria,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primaria, que requiere de los aspirantes valorados el estar familiarizado con las 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r w:rsidDel="00000000" w:rsidR="00000000" w:rsidRPr="00000000">
        <w:rPr>
          <w:rtl w:val="0"/>
        </w:rPr>
      </w:r>
    </w:p>
    <w:p w:rsidR="00000000" w:rsidDel="00000000" w:rsidP="00000000" w:rsidRDefault="00000000" w:rsidRPr="00000000" w14:paraId="0000009E">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F">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0">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C">
      <w:pPr>
        <w:spacing w:line="276" w:lineRule="auto"/>
        <w:ind w:right="138.54330708661507"/>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D">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E">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Agulló Morera, M., Filella Guiu, G., Soldevila Benet, A., &amp; Ribes Castells, R. (2011). Evaluación de la educación emocional en el ciclo medio de Educación Primaria.</w:t>
      </w:r>
      <w:r w:rsidDel="00000000" w:rsidR="00000000" w:rsidRPr="00000000">
        <w:rPr>
          <w:rtl w:val="0"/>
        </w:rPr>
      </w:r>
    </w:p>
    <w:p w:rsidR="00000000" w:rsidDel="00000000" w:rsidP="00000000" w:rsidRDefault="00000000" w:rsidRPr="00000000" w14:paraId="000000AF">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0">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Bosco, E. B. (2008). Factores escolares asociados a los aprendizajes en la educación primaria mexicana: un análisis multinivel.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6</w:t>
      </w:r>
      <w:r w:rsidDel="00000000" w:rsidR="00000000" w:rsidRPr="00000000">
        <w:rPr>
          <w:rFonts w:ascii="Arial" w:cs="Arial" w:eastAsia="Arial" w:hAnsi="Arial"/>
          <w:color w:val="222222"/>
          <w:sz w:val="24"/>
          <w:szCs w:val="24"/>
          <w:highlight w:val="white"/>
          <w:rtl w:val="0"/>
        </w:rPr>
        <w:t xml:space="preserve">(1), 58-84.</w:t>
      </w:r>
    </w:p>
    <w:p w:rsidR="00000000" w:rsidDel="00000000" w:rsidP="00000000" w:rsidRDefault="00000000" w:rsidRPr="00000000" w14:paraId="000000B1">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B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B3">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B4">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B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B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B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A">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BB">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C">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D">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García Bacete, F. J., Sureda García, I., &amp; Monjas Casares, I. (2010). El rechazo entre iguales en la educación primaria: Una panorámica general. Anales de psicología.</w:t>
      </w:r>
    </w:p>
    <w:p w:rsidR="00000000" w:rsidDel="00000000" w:rsidP="00000000" w:rsidRDefault="00000000" w:rsidRPr="00000000" w14:paraId="000000BE">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Gutiérrez-Braojos, C., &amp; Pérez, H. S. (2012). Estrategias de comprensión lectora: enseñanza y evaluación en educación primaria. </w:t>
      </w:r>
      <w:r w:rsidDel="00000000" w:rsidR="00000000" w:rsidRPr="00000000">
        <w:rPr>
          <w:rFonts w:ascii="Arial" w:cs="Arial" w:eastAsia="Arial" w:hAnsi="Arial"/>
          <w:i w:val="1"/>
          <w:color w:val="222222"/>
          <w:sz w:val="24"/>
          <w:szCs w:val="24"/>
          <w:highlight w:val="white"/>
          <w:rtl w:val="0"/>
        </w:rPr>
        <w:t xml:space="preserve">Profesorado. Revista de curriculum y formación de profesorado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183-202.</w:t>
      </w:r>
      <w:r w:rsidDel="00000000" w:rsidR="00000000" w:rsidRPr="00000000">
        <w:rPr>
          <w:rtl w:val="0"/>
        </w:rPr>
      </w:r>
    </w:p>
    <w:p w:rsidR="00000000" w:rsidDel="00000000" w:rsidP="00000000" w:rsidRDefault="00000000" w:rsidRPr="00000000" w14:paraId="000000BF">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C0">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C1">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C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C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C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C5">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C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C7">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C8">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C9">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CA">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Peralta Sánchez, F. J., &amp; Sánchez Roda, M. D. (2003). Relaciones entre el autoconcepto y el rendimiento académico, en alumnos de Educación Primaria.</w:t>
      </w:r>
    </w:p>
    <w:p w:rsidR="00000000" w:rsidDel="00000000" w:rsidP="00000000" w:rsidRDefault="00000000" w:rsidRPr="00000000" w14:paraId="000000CB">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CC">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D">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Santisteban Fernández, A. (2010). La enseñanza y el aprendizaje del tiempo histórico en la educación primaria. </w:t>
      </w:r>
      <w:r w:rsidDel="00000000" w:rsidR="00000000" w:rsidRPr="00000000">
        <w:rPr>
          <w:rFonts w:ascii="Arial" w:cs="Arial" w:eastAsia="Arial" w:hAnsi="Arial"/>
          <w:i w:val="1"/>
          <w:color w:val="222222"/>
          <w:sz w:val="24"/>
          <w:szCs w:val="24"/>
          <w:highlight w:val="white"/>
          <w:rtl w:val="0"/>
        </w:rPr>
        <w:t xml:space="preserve">Cadernos Cedes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30</w:t>
      </w:r>
      <w:r w:rsidDel="00000000" w:rsidR="00000000" w:rsidRPr="00000000">
        <w:rPr>
          <w:rFonts w:ascii="Arial" w:cs="Arial" w:eastAsia="Arial" w:hAnsi="Arial"/>
          <w:color w:val="222222"/>
          <w:sz w:val="24"/>
          <w:szCs w:val="24"/>
          <w:highlight w:val="white"/>
          <w:rtl w:val="0"/>
        </w:rPr>
        <w:t xml:space="preserve">(82), 281-309.</w:t>
      </w:r>
    </w:p>
    <w:p w:rsidR="00000000" w:rsidDel="00000000" w:rsidP="00000000" w:rsidRDefault="00000000" w:rsidRPr="00000000" w14:paraId="000000CE">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F">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D0">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Torres, L. H., &amp; Antonio, I. B. (2011). Convivencia escolar en Educación Primaria. Las habilidades sociales del alumnado como variable moduladora. </w:t>
      </w:r>
      <w:r w:rsidDel="00000000" w:rsidR="00000000" w:rsidRPr="00000000">
        <w:rPr>
          <w:rFonts w:ascii="Arial" w:cs="Arial" w:eastAsia="Arial" w:hAnsi="Arial"/>
          <w:i w:val="1"/>
          <w:color w:val="222222"/>
          <w:sz w:val="24"/>
          <w:szCs w:val="24"/>
          <w:highlight w:val="white"/>
          <w:rtl w:val="0"/>
        </w:rPr>
        <w:t xml:space="preserve">Dedica. Revista de educação e humanidades</w:t>
      </w:r>
      <w:r w:rsidDel="00000000" w:rsidR="00000000" w:rsidRPr="00000000">
        <w:rPr>
          <w:rFonts w:ascii="Arial" w:cs="Arial" w:eastAsia="Arial" w:hAnsi="Arial"/>
          <w:color w:val="222222"/>
          <w:sz w:val="24"/>
          <w:szCs w:val="24"/>
          <w:highlight w:val="white"/>
          <w:rtl w:val="0"/>
        </w:rPr>
        <w:t xml:space="preserve">, (1), 173-212.</w:t>
      </w:r>
      <w:r w:rsidDel="00000000" w:rsidR="00000000" w:rsidRPr="00000000">
        <w:rPr>
          <w:rtl w:val="0"/>
        </w:rPr>
      </w:r>
    </w:p>
    <w:p w:rsidR="00000000" w:rsidDel="00000000" w:rsidP="00000000" w:rsidRDefault="00000000" w:rsidRPr="00000000" w14:paraId="000000D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Valdés Cuervo, Á. A., Martín Pavón, M. J., &amp; Sánchez Escobedo, P. A. (2009). Participación de los padres de alumnos de educación primaria en las actividades académicas de sus hijos.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11</w:t>
      </w:r>
      <w:r w:rsidDel="00000000" w:rsidR="00000000" w:rsidRPr="00000000">
        <w:rPr>
          <w:rFonts w:ascii="Arial" w:cs="Arial" w:eastAsia="Arial" w:hAnsi="Arial"/>
          <w:color w:val="222222"/>
          <w:sz w:val="24"/>
          <w:szCs w:val="24"/>
          <w:highlight w:val="white"/>
          <w:rtl w:val="0"/>
        </w:rPr>
        <w:t xml:space="preserve">(1), 1-17.</w:t>
      </w:r>
    </w:p>
    <w:p w:rsidR="00000000" w:rsidDel="00000000" w:rsidP="00000000" w:rsidRDefault="00000000" w:rsidRPr="00000000" w14:paraId="000000D2">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Wass, S. (1992). </w:t>
      </w:r>
      <w:r w:rsidDel="00000000" w:rsidR="00000000" w:rsidRPr="00000000">
        <w:rPr>
          <w:rFonts w:ascii="Arial" w:cs="Arial" w:eastAsia="Arial" w:hAnsi="Arial"/>
          <w:i w:val="1"/>
          <w:color w:val="222222"/>
          <w:sz w:val="24"/>
          <w:szCs w:val="24"/>
          <w:highlight w:val="white"/>
          <w:rtl w:val="0"/>
        </w:rPr>
        <w:t xml:space="preserve">Salidas escolares y trabajo de campo en la educación primaria</w:t>
      </w:r>
      <w:r w:rsidDel="00000000" w:rsidR="00000000" w:rsidRPr="00000000">
        <w:rPr>
          <w:rFonts w:ascii="Arial" w:cs="Arial" w:eastAsia="Arial" w:hAnsi="Arial"/>
          <w:color w:val="222222"/>
          <w:sz w:val="24"/>
          <w:szCs w:val="24"/>
          <w:highlight w:val="white"/>
          <w:rtl w:val="0"/>
        </w:rPr>
        <w:t xml:space="preserve"> (Vol. 25). Ediciones Morata.</w:t>
      </w:r>
    </w:p>
    <w:p w:rsidR="00000000" w:rsidDel="00000000" w:rsidP="00000000" w:rsidRDefault="00000000" w:rsidRPr="00000000" w14:paraId="000000D3">
      <w:pPr>
        <w:spacing w:after="0" w:line="360" w:lineRule="auto"/>
        <w:ind w:left="72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D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3">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4">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fC0AUOMFkOJINTtCa5X3jm80g==">AMUW2mUBODeudKTtye7hn4AcgGAVrHTJUpydZwETF+8rlBGb5q+iPTPglVSdnLjvXVvZABAfQTIX6RsOqsxf5p0AOhcC7R6hmbxkP8B2Rumu3J0AipnqSiskbP9X9kaLPx/Azu6WGb/RbhvTWCJn6Z6bNiA5ZzU7oLWr2DXL9OePmGMdqlANb50=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