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Técnico Docente en Educación Secundaria como parte del Proceso de Selección para la Promoción Horizontal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jc w:val="center"/>
        <w:rPr>
          <w:rFonts w:ascii="Arial" w:cs="Arial" w:eastAsia="Arial" w:hAnsi="Arial"/>
          <w:b w:val="1"/>
          <w:sz w:val="36"/>
          <w:szCs w:val="36"/>
        </w:rPr>
      </w:pPr>
      <w:bookmarkStart w:colFirst="0" w:colLast="0" w:name="_heading=h.jpq90wosxi8t" w:id="4"/>
      <w:bookmarkEnd w:id="4"/>
      <w:r w:rsidDel="00000000" w:rsidR="00000000" w:rsidRPr="00000000">
        <w:rPr>
          <w:rtl w:val="0"/>
        </w:rPr>
      </w:r>
    </w:p>
    <w:p w:rsidR="00000000" w:rsidDel="00000000" w:rsidP="00000000" w:rsidRDefault="00000000" w:rsidRPr="00000000" w14:paraId="00000006">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7">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8">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A">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E">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1F">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7">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B">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2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2">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5">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5F">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0">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técnicos docentes para obtener un estímulo económico dentro de su función. Este instrumento tiene como objetivo principal valorar en los aspirantes los conocimientos y aptitudes que se consideran necesarias para el ejercicio de las funciones técnico docente,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dirección.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6F">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2">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8">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9">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del personal con funciones de técnico docente, el SISAP plantea la aplicación del Instrumento de valoración de conocimientos y aptitudes, en conjunto con un proyecto de seguimiento y una  entrevista sobre dicho proyecto de seguimiento. </w:t>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C">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aplicado como parte del proceso de selección para la promoción horizontal dentro de la función Técnico Docente,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7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 </w:t>
      </w:r>
    </w:p>
    <w:p w:rsidR="00000000" w:rsidDel="00000000" w:rsidP="00000000" w:rsidRDefault="00000000" w:rsidRPr="00000000" w14:paraId="0000007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las niñas, niños y adolescentes para su desarrollo integral y bienestar, a la vez que es un medio para la transformación y mejoramiento social del país.</w:t>
      </w:r>
    </w:p>
    <w:p w:rsidR="00000000" w:rsidDel="00000000" w:rsidP="00000000" w:rsidRDefault="00000000" w:rsidRPr="00000000" w14:paraId="0000008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los alumnos para brindarles una atención educativa con inclusión, equidad y excelencia. </w:t>
      </w:r>
    </w:p>
    <w:p w:rsidR="00000000" w:rsidDel="00000000" w:rsidP="00000000" w:rsidRDefault="00000000" w:rsidRPr="00000000" w14:paraId="0000008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los grupos de alumnos para desarrollar su quehacer docente de forma pertinente y contextualizada.</w:t>
      </w:r>
    </w:p>
    <w:p w:rsidR="00000000" w:rsidDel="00000000" w:rsidP="00000000" w:rsidRDefault="00000000" w:rsidRPr="00000000" w14:paraId="0000008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al grupo o grupos de alumnos y brindarles una atención equitativa e incluyente.</w:t>
      </w:r>
    </w:p>
    <w:p w:rsidR="00000000" w:rsidDel="00000000" w:rsidP="00000000" w:rsidRDefault="00000000" w:rsidRPr="00000000" w14:paraId="0000008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8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8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8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los alumnos.</w:t>
      </w:r>
    </w:p>
    <w:p w:rsidR="00000000" w:rsidDel="00000000" w:rsidP="00000000" w:rsidRDefault="00000000" w:rsidRPr="00000000" w14:paraId="0000008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o grupos escolares de modo que favorece el aprendizaje, la participación y el bienestar de todos los alumnos.</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el desempeño de los alumnos a través de diversas estrategias para valorar los aprendizajes y su intervención docente.</w:t>
      </w:r>
    </w:p>
    <w:p w:rsidR="00000000" w:rsidDel="00000000" w:rsidP="00000000" w:rsidRDefault="00000000" w:rsidRPr="00000000" w14:paraId="0000008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8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Apoya a los docentes responsables del grupo escolar, para involucrar a las familias de los alumnos en la tarea educativa de la escuela.</w:t>
      </w:r>
    </w:p>
    <w:p w:rsidR="00000000" w:rsidDel="00000000" w:rsidP="00000000" w:rsidRDefault="00000000" w:rsidRPr="00000000" w14:paraId="0000008F">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line="276" w:lineRule="auto"/>
        <w:ind w:right="138.54330708661507"/>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line="276" w:lineRule="auto"/>
        <w:ind w:right="138.54330708661507"/>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9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E">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se visualiza al técnico docente como el responsable del proceso enseñanza-aprendizaje en  espacios escolares tales como el aula de medios o los talleres y  como apoyo docente en áreas formativas como la lectura y la escritura. Por ello, el instrumento de valoración de conocimientos y habilidades a responder por los aspirantes a obtener una promoción horizontal dentro de su plaza como técnico docente, considera la medición de habilidades y conocimientos señalados en los Perfiles profesionales como esenciales para su práctica educativa, en términos de la gestión de los conocimientos impartidos en el aula (Coronas, 2003), la promoción del trabajo colaborativo y la convivencia en el colectivo escolar (Del Rey, Ruiz &amp; Feria, 2009) y el fomento de un ambiente de aprendizaje equitativo e incluyente (Blanco, 2006).</w:t>
      </w:r>
    </w:p>
    <w:p w:rsidR="00000000" w:rsidDel="00000000" w:rsidP="00000000" w:rsidRDefault="00000000" w:rsidRPr="00000000" w14:paraId="0000009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en educación secundaria, que requiere de los participantes el estar en contacto con los procesos de 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(Tedesco, 2002).</w:t>
      </w:r>
    </w:p>
    <w:p w:rsidR="00000000" w:rsidDel="00000000" w:rsidP="00000000" w:rsidRDefault="00000000" w:rsidRPr="00000000" w14:paraId="000000A0">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widowControl w:val="0"/>
        <w:spacing w:line="360" w:lineRule="auto"/>
        <w:ind w:right="138.54330708661507"/>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F">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B0">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B1">
      <w:pPr>
        <w:widowControl w:val="0"/>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Cavero, M. Á. B., &amp; Angel, M. (2006). Motivación y rendimiento académico en alumnos de Educación Secundaria Obligatoria y Bachillerato LOGSE.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340</w:t>
      </w:r>
      <w:r w:rsidDel="00000000" w:rsidR="00000000" w:rsidRPr="00000000">
        <w:rPr>
          <w:rFonts w:ascii="Arial" w:cs="Arial" w:eastAsia="Arial" w:hAnsi="Arial"/>
          <w:color w:val="222222"/>
          <w:sz w:val="24"/>
          <w:szCs w:val="24"/>
          <w:highlight w:val="white"/>
          <w:rtl w:val="0"/>
        </w:rPr>
        <w:t xml:space="preserve">, 379-414.</w:t>
      </w:r>
    </w:p>
    <w:p w:rsidR="00000000" w:rsidDel="00000000" w:rsidP="00000000" w:rsidRDefault="00000000" w:rsidRPr="00000000" w14:paraId="000000B2">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B3">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B4">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Costa, J. L. C., &amp; Martínez, L. N. (2011). </w:t>
      </w:r>
      <w:r w:rsidDel="00000000" w:rsidR="00000000" w:rsidRPr="00000000">
        <w:rPr>
          <w:rFonts w:ascii="Arial" w:cs="Arial" w:eastAsia="Arial" w:hAnsi="Arial"/>
          <w:i w:val="1"/>
          <w:color w:val="222222"/>
          <w:sz w:val="24"/>
          <w:szCs w:val="24"/>
          <w:highlight w:val="white"/>
          <w:rtl w:val="0"/>
        </w:rPr>
        <w:t xml:space="preserve">Aprendizaje, desarrollo y disfunciones. Implicaciones para la enseñanza en la Educación Secundaria</w:t>
      </w:r>
      <w:r w:rsidDel="00000000" w:rsidR="00000000" w:rsidRPr="00000000">
        <w:rPr>
          <w:rFonts w:ascii="Arial" w:cs="Arial" w:eastAsia="Arial" w:hAnsi="Arial"/>
          <w:color w:val="222222"/>
          <w:sz w:val="24"/>
          <w:szCs w:val="24"/>
          <w:highlight w:val="white"/>
          <w:rtl w:val="0"/>
        </w:rPr>
        <w:t xml:space="preserve">. Editorial Club Universitario.</w:t>
      </w:r>
    </w:p>
    <w:p w:rsidR="00000000" w:rsidDel="00000000" w:rsidP="00000000" w:rsidRDefault="00000000" w:rsidRPr="00000000" w14:paraId="000000B5">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B6">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7">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8">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A. L. (2003). Factores personales, familiares y académicos que afectan al fracaso escolar en la Educación Secundaria. </w:t>
      </w:r>
      <w:r w:rsidDel="00000000" w:rsidR="00000000" w:rsidRPr="00000000">
        <w:rPr>
          <w:rFonts w:ascii="Arial" w:cs="Arial" w:eastAsia="Arial" w:hAnsi="Arial"/>
          <w:i w:val="1"/>
          <w:color w:val="222222"/>
          <w:sz w:val="24"/>
          <w:szCs w:val="24"/>
          <w:highlight w:val="white"/>
          <w:rtl w:val="0"/>
        </w:rPr>
        <w:t xml:space="preserve">Electronic journal of research in educational psychology</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w:t>
      </w:r>
      <w:r w:rsidDel="00000000" w:rsidR="00000000" w:rsidRPr="00000000">
        <w:rPr>
          <w:rFonts w:ascii="Arial" w:cs="Arial" w:eastAsia="Arial" w:hAnsi="Arial"/>
          <w:color w:val="222222"/>
          <w:sz w:val="24"/>
          <w:szCs w:val="24"/>
          <w:highlight w:val="white"/>
          <w:rtl w:val="0"/>
        </w:rPr>
        <w:t xml:space="preserve">(1), 43-66.</w:t>
      </w:r>
      <w:r w:rsidDel="00000000" w:rsidR="00000000" w:rsidRPr="00000000">
        <w:rPr>
          <w:rtl w:val="0"/>
        </w:rPr>
      </w:r>
    </w:p>
    <w:p w:rsidR="00000000" w:rsidDel="00000000" w:rsidP="00000000" w:rsidRDefault="00000000" w:rsidRPr="00000000" w14:paraId="000000B9">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BA">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BB">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BC">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BD">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BE">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BF">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C0">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C1">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C2">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3">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Ruiz, R. O., Aguayo, J. E., Font, C. M., Municio, J. I. P., Majós, T. M., Goñi, J. O., ... &amp; Rocamora, A. E. (2010). </w:t>
      </w:r>
      <w:r w:rsidDel="00000000" w:rsidR="00000000" w:rsidRPr="00000000">
        <w:rPr>
          <w:rFonts w:ascii="Arial" w:cs="Arial" w:eastAsia="Arial" w:hAnsi="Arial"/>
          <w:i w:val="1"/>
          <w:color w:val="222222"/>
          <w:sz w:val="24"/>
          <w:szCs w:val="24"/>
          <w:highlight w:val="white"/>
          <w:rtl w:val="0"/>
        </w:rPr>
        <w:t xml:space="preserve">Desarrollo, aprendizaje y enseñanza en la educación secundaria</w:t>
      </w:r>
      <w:r w:rsidDel="00000000" w:rsidR="00000000" w:rsidRPr="00000000">
        <w:rPr>
          <w:rFonts w:ascii="Arial" w:cs="Arial" w:eastAsia="Arial" w:hAnsi="Arial"/>
          <w:color w:val="222222"/>
          <w:sz w:val="24"/>
          <w:szCs w:val="24"/>
          <w:highlight w:val="white"/>
          <w:rtl w:val="0"/>
        </w:rPr>
        <w:t xml:space="preserve"> (Vol. 11). Grao.</w:t>
      </w:r>
    </w:p>
    <w:p w:rsidR="00000000" w:rsidDel="00000000" w:rsidP="00000000" w:rsidRDefault="00000000" w:rsidRPr="00000000" w14:paraId="000000C4">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Rusillo, M. T. C., &amp; Arias, P. F. C. (2004). Diferencias de género en la motivación académica de los alumnos de Educación Secundaria Obligatoria. </w:t>
      </w:r>
      <w:r w:rsidDel="00000000" w:rsidR="00000000" w:rsidRPr="00000000">
        <w:rPr>
          <w:rFonts w:ascii="Arial" w:cs="Arial" w:eastAsia="Arial" w:hAnsi="Arial"/>
          <w:i w:val="1"/>
          <w:color w:val="222222"/>
          <w:sz w:val="24"/>
          <w:szCs w:val="24"/>
          <w:highlight w:val="white"/>
          <w:rtl w:val="0"/>
        </w:rPr>
        <w:t xml:space="preserve">Electronic journal of research in educational psychology</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w:t>
      </w:r>
      <w:r w:rsidDel="00000000" w:rsidR="00000000" w:rsidRPr="00000000">
        <w:rPr>
          <w:rFonts w:ascii="Arial" w:cs="Arial" w:eastAsia="Arial" w:hAnsi="Arial"/>
          <w:color w:val="222222"/>
          <w:sz w:val="24"/>
          <w:szCs w:val="24"/>
          <w:highlight w:val="white"/>
          <w:rtl w:val="0"/>
        </w:rPr>
        <w:t xml:space="preserve">(1), 97-112.</w:t>
      </w:r>
    </w:p>
    <w:p w:rsidR="00000000" w:rsidDel="00000000" w:rsidP="00000000" w:rsidRDefault="00000000" w:rsidRPr="00000000" w14:paraId="000000C5">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6">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C7">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Tedesco, J. C., &amp; López, N. (2002). Desafíos a la educación secundaria en América Latina. </w:t>
      </w:r>
      <w:r w:rsidDel="00000000" w:rsidR="00000000" w:rsidRPr="00000000">
        <w:rPr>
          <w:rFonts w:ascii="Arial" w:cs="Arial" w:eastAsia="Arial" w:hAnsi="Arial"/>
          <w:i w:val="1"/>
          <w:color w:val="222222"/>
          <w:sz w:val="24"/>
          <w:szCs w:val="24"/>
          <w:highlight w:val="white"/>
          <w:rtl w:val="0"/>
        </w:rPr>
        <w:t xml:space="preserve">Revista de la CEPAL</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C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6">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D7">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g5YjD4snbqo+v1X2jMk1//HpQ==">AMUW2mVqwjrB3z2LI3F4pbJV4fcFKKQqzy44JaTsEx4UFYj691rD4ksJP7XIeEPkUOclgC4FeatvjX3eDxYzSFTwfrsD2iqqxC7ilzac7xNLjdzVKU+54Q6xR+CfJR7P2gCaAx1VT47y/Ha8vr6un+eV8Wzf0cZSPm9P35e7kn7Fk14kutgEDFQ/4VXhmAUK8pz0otSSZItM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