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highlight w:val="yellow"/>
          <w:rtl w:val="0"/>
        </w:rPr>
        <w:t xml:space="preserve">INSTRUMENTO</w:t>
      </w:r>
      <w:r w:rsidDel="00000000" w:rsidR="00000000" w:rsidRPr="00000000">
        <w:rPr>
          <w:rFonts w:ascii="Arial" w:cs="Arial" w:eastAsia="Arial" w:hAnsi="Arial"/>
          <w:b w:val="1"/>
          <w:sz w:val="36"/>
          <w:szCs w:val="36"/>
          <w:rtl w:val="0"/>
        </w:rPr>
        <w:t xml:space="preserve"> para </w:t>
      </w:r>
      <w:r w:rsidDel="00000000" w:rsidR="00000000" w:rsidRPr="00000000">
        <w:rPr>
          <w:rFonts w:ascii="Arial" w:cs="Arial" w:eastAsia="Arial" w:hAnsi="Arial"/>
          <w:b w:val="1"/>
          <w:sz w:val="36"/>
          <w:szCs w:val="36"/>
          <w:highlight w:val="yellow"/>
          <w:rtl w:val="0"/>
        </w:rPr>
        <w:t xml:space="preserve">Figura-Subfigura </w:t>
      </w:r>
      <w:r w:rsidDel="00000000" w:rsidR="00000000" w:rsidRPr="00000000">
        <w:rPr>
          <w:rFonts w:ascii="Arial" w:cs="Arial" w:eastAsia="Arial" w:hAnsi="Arial"/>
          <w:b w:val="1"/>
          <w:sz w:val="36"/>
          <w:szCs w:val="36"/>
          <w:rtl w:val="0"/>
        </w:rPr>
        <w:t xml:space="preserve">como parte del Proceso de Selección para la</w:t>
      </w:r>
      <w:r w:rsidDel="00000000" w:rsidR="00000000" w:rsidRPr="00000000">
        <w:rPr>
          <w:rFonts w:ascii="Arial" w:cs="Arial" w:eastAsia="Arial" w:hAnsi="Arial"/>
          <w:b w:val="1"/>
          <w:sz w:val="36"/>
          <w:szCs w:val="36"/>
          <w:highlight w:val="yellow"/>
          <w:rtl w:val="0"/>
        </w:rPr>
        <w:t xml:space="preserve"> X</w:t>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2">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9">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D">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F">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1">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w:t>
      </w:r>
      <w:r w:rsidDel="00000000" w:rsidR="00000000" w:rsidRPr="00000000">
        <w:rPr>
          <w:rFonts w:ascii="Arial" w:cs="Arial" w:eastAsia="Arial" w:hAnsi="Arial"/>
          <w:color w:val="ff0000"/>
          <w:sz w:val="24"/>
          <w:szCs w:val="24"/>
          <w:rtl w:val="0"/>
        </w:rPr>
        <w:t xml:space="preserve">presenta el Marco Referencial donde se detallan los referentes normativos y teóricos que subyacen a </w:t>
      </w:r>
      <w:r w:rsidDel="00000000" w:rsidR="00000000" w:rsidRPr="00000000">
        <w:rPr>
          <w:rFonts w:ascii="Arial" w:cs="Arial" w:eastAsia="Arial" w:hAnsi="Arial"/>
          <w:sz w:val="24"/>
          <w:szCs w:val="24"/>
          <w:highlight w:val="yellow"/>
          <w:rtl w:val="0"/>
        </w:rPr>
        <w:t xml:space="preserve">[NOMBRE DEL INSTRUMENTO]</w:t>
      </w:r>
      <w:r w:rsidDel="00000000" w:rsidR="00000000" w:rsidRPr="00000000">
        <w:rPr>
          <w:rFonts w:ascii="Arial" w:cs="Arial" w:eastAsia="Arial" w:hAnsi="Arial"/>
          <w:sz w:val="24"/>
          <w:szCs w:val="24"/>
          <w:rtl w:val="0"/>
        </w:rPr>
        <w:t xml:space="preserve">, uno de los instrumentos de apreciación cuya aplicación y calificación se considera parte del Proceso de Selección para la </w:t>
      </w:r>
      <w:r w:rsidDel="00000000" w:rsidR="00000000" w:rsidRPr="00000000">
        <w:rPr>
          <w:rFonts w:ascii="Arial" w:cs="Arial" w:eastAsia="Arial" w:hAnsi="Arial"/>
          <w:sz w:val="24"/>
          <w:szCs w:val="24"/>
          <w:highlight w:val="yellow"/>
          <w:rtl w:val="0"/>
        </w:rPr>
        <w:t xml:space="preserve">[PROCESO DE SELECCION]</w:t>
      </w:r>
      <w:r w:rsidDel="00000000" w:rsidR="00000000" w:rsidRPr="00000000">
        <w:rPr>
          <w:rFonts w:ascii="Arial" w:cs="Arial" w:eastAsia="Arial" w:hAnsi="Arial"/>
          <w:sz w:val="24"/>
          <w:szCs w:val="24"/>
          <w:rtl w:val="0"/>
        </w:rPr>
        <w:t xml:space="preserve">, en el que participan </w:t>
      </w:r>
      <w:r w:rsidDel="00000000" w:rsidR="00000000" w:rsidRPr="00000000">
        <w:rPr>
          <w:rFonts w:ascii="Arial" w:cs="Arial" w:eastAsia="Arial" w:hAnsi="Arial"/>
          <w:sz w:val="24"/>
          <w:szCs w:val="24"/>
          <w:highlight w:val="yellow"/>
          <w:rtl w:val="0"/>
        </w:rPr>
        <w:t xml:space="preserve">[ASPIRANTES] </w:t>
      </w:r>
      <w:r w:rsidDel="00000000" w:rsidR="00000000" w:rsidRPr="00000000">
        <w:rPr>
          <w:rFonts w:ascii="Arial" w:cs="Arial" w:eastAsia="Arial" w:hAnsi="Arial"/>
          <w:sz w:val="24"/>
          <w:szCs w:val="24"/>
          <w:rtl w:val="0"/>
        </w:rPr>
        <w:t xml:space="preserve">a obtener </w:t>
      </w:r>
      <w:r w:rsidDel="00000000" w:rsidR="00000000" w:rsidRPr="00000000">
        <w:rPr>
          <w:rFonts w:ascii="Arial" w:cs="Arial" w:eastAsia="Arial" w:hAnsi="Arial"/>
          <w:sz w:val="24"/>
          <w:szCs w:val="24"/>
          <w:highlight w:val="yellow"/>
          <w:rtl w:val="0"/>
        </w:rPr>
        <w:t xml:space="preserve">[PLAZA/PROMOCION]</w:t>
      </w:r>
      <w:r w:rsidDel="00000000" w:rsidR="00000000" w:rsidRPr="00000000">
        <w:rPr>
          <w:rFonts w:ascii="Arial" w:cs="Arial" w:eastAsia="Arial" w:hAnsi="Arial"/>
          <w:sz w:val="24"/>
          <w:szCs w:val="24"/>
          <w:rtl w:val="0"/>
        </w:rPr>
        <w:t xml:space="preserve"> dentro de la función </w:t>
      </w:r>
      <w:r w:rsidDel="00000000" w:rsidR="00000000" w:rsidRPr="00000000">
        <w:rPr>
          <w:rFonts w:ascii="Arial" w:cs="Arial" w:eastAsia="Arial" w:hAnsi="Arial"/>
          <w:sz w:val="24"/>
          <w:szCs w:val="24"/>
          <w:highlight w:val="yellow"/>
          <w:rtl w:val="0"/>
        </w:rPr>
        <w:t xml:space="preserve">[FIGURA].  </w:t>
      </w:r>
      <w:r w:rsidDel="00000000" w:rsidR="00000000" w:rsidRPr="00000000">
        <w:rPr>
          <w:rFonts w:ascii="Arial" w:cs="Arial" w:eastAsia="Arial" w:hAnsi="Arial"/>
          <w:sz w:val="24"/>
          <w:szCs w:val="24"/>
          <w:rtl w:val="0"/>
        </w:rPr>
        <w:t xml:space="preserve">Este instrumento tiene como objetivo principal </w:t>
      </w:r>
      <w:r w:rsidDel="00000000" w:rsidR="00000000" w:rsidRPr="00000000">
        <w:rPr>
          <w:rFonts w:ascii="Arial" w:cs="Arial" w:eastAsia="Arial" w:hAnsi="Arial"/>
          <w:sz w:val="24"/>
          <w:szCs w:val="24"/>
          <w:highlight w:val="yellow"/>
          <w:rtl w:val="0"/>
        </w:rPr>
        <w:t xml:space="preserve">[ELABORAR CARACTERÍSTICAS DEL INSTRUMENTO]</w:t>
      </w:r>
      <w:r w:rsidDel="00000000" w:rsidR="00000000" w:rsidRPr="00000000">
        <w:rPr>
          <w:rFonts w:ascii="Arial" w:cs="Arial" w:eastAsia="Arial" w:hAnsi="Arial"/>
          <w:sz w:val="24"/>
          <w:szCs w:val="24"/>
          <w:rtl w:val="0"/>
        </w:rPr>
        <w:t xml:space="preserve"> y se caracteriza por </w:t>
      </w:r>
      <w:r w:rsidDel="00000000" w:rsidR="00000000" w:rsidRPr="00000000">
        <w:rPr>
          <w:rFonts w:ascii="Arial" w:cs="Arial" w:eastAsia="Arial" w:hAnsi="Arial"/>
          <w:sz w:val="24"/>
          <w:szCs w:val="24"/>
          <w:highlight w:val="yellow"/>
          <w:rtl w:val="0"/>
        </w:rPr>
        <w:t xml:space="preserve">[ELABORAR CARACTERÍSTICAS DEL INSTRUMENTO].</w:t>
      </w:r>
      <w:r w:rsidDel="00000000" w:rsidR="00000000" w:rsidRPr="00000000">
        <w:rPr>
          <w:rtl w:val="0"/>
        </w:rPr>
      </w:r>
    </w:p>
    <w:p w:rsidR="00000000" w:rsidDel="00000000" w:rsidP="00000000" w:rsidRDefault="00000000" w:rsidRPr="00000000" w14:paraId="00000067">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w:t>
      </w:r>
      <w:r w:rsidDel="00000000" w:rsidR="00000000" w:rsidRPr="00000000">
        <w:rPr>
          <w:rFonts w:ascii="Arial" w:cs="Arial" w:eastAsia="Arial" w:hAnsi="Arial"/>
          <w:color w:val="ff0000"/>
          <w:sz w:val="24"/>
          <w:szCs w:val="24"/>
          <w:rtl w:val="0"/>
        </w:rPr>
        <w:t xml:space="preserve">(DOF, 1917)</w:t>
      </w:r>
      <w:r w:rsidDel="00000000" w:rsidR="00000000" w:rsidRPr="00000000">
        <w:rPr>
          <w:rFonts w:ascii="Arial" w:cs="Arial" w:eastAsia="Arial" w:hAnsi="Arial"/>
          <w:sz w:val="24"/>
          <w:szCs w:val="24"/>
          <w:rtl w:val="0"/>
        </w:rPr>
        <w:t xml:space="preserve">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w:t>
      </w:r>
      <w:r w:rsidDel="00000000" w:rsidR="00000000" w:rsidRPr="00000000">
        <w:rPr>
          <w:rFonts w:ascii="Arial" w:cs="Arial" w:eastAsia="Arial" w:hAnsi="Arial"/>
          <w:sz w:val="24"/>
          <w:szCs w:val="24"/>
          <w:rtl w:val="0"/>
        </w:rPr>
        <w:t xml:space="preserve">dentro</w:t>
      </w:r>
      <w:r w:rsidDel="00000000" w:rsidR="00000000" w:rsidRPr="00000000">
        <w:rPr>
          <w:rFonts w:ascii="Arial" w:cs="Arial" w:eastAsia="Arial" w:hAnsi="Arial"/>
          <w:sz w:val="24"/>
          <w:szCs w:val="24"/>
          <w:rtl w:val="0"/>
        </w:rPr>
        <w:t xml:space="preserve"> de sus funciones, un Reconocimiento o una Promoción Vertical a una función superior.</w:t>
      </w:r>
    </w:p>
    <w:p w:rsidR="00000000" w:rsidDel="00000000" w:rsidP="00000000" w:rsidRDefault="00000000" w:rsidRPr="00000000" w14:paraId="0000006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establece que la participación en cualquiera de los procesos de selección considerados en el SCMM es de carácter voluntario y está condicionada al cumplimiento de los requisitos que se establezcan de manera específica para cada proceso, </w:t>
      </w:r>
      <w:r w:rsidDel="00000000" w:rsidR="00000000" w:rsidRPr="00000000">
        <w:rPr>
          <w:rFonts w:ascii="Arial" w:cs="Arial" w:eastAsia="Arial" w:hAnsi="Arial"/>
          <w:color w:val="ff0000"/>
          <w:sz w:val="24"/>
          <w:szCs w:val="24"/>
          <w:highlight w:val="yellow"/>
          <w:rtl w:val="0"/>
        </w:rPr>
        <w:t xml:space="preserve">(SEP, 2019a)</w:t>
      </w:r>
      <w:r w:rsidDel="00000000" w:rsidR="00000000" w:rsidRPr="00000000">
        <w:rPr>
          <w:rFonts w:ascii="Arial" w:cs="Arial" w:eastAsia="Arial" w:hAnsi="Arial"/>
          <w:sz w:val="24"/>
          <w:szCs w:val="24"/>
          <w:rtl w:val="0"/>
        </w:rPr>
        <w:t xml:space="preserve">. En el caso particular de la </w:t>
      </w:r>
      <w:r w:rsidDel="00000000" w:rsidR="00000000" w:rsidRPr="00000000">
        <w:rPr>
          <w:rFonts w:ascii="Arial" w:cs="Arial" w:eastAsia="Arial" w:hAnsi="Arial"/>
          <w:sz w:val="24"/>
          <w:szCs w:val="24"/>
          <w:highlight w:val="yellow"/>
          <w:rtl w:val="0"/>
        </w:rPr>
        <w:t xml:space="preserve">[PROCESO DE SELECCION]</w:t>
      </w:r>
      <w:r w:rsidDel="00000000" w:rsidR="00000000" w:rsidRPr="00000000">
        <w:rPr>
          <w:rFonts w:ascii="Arial" w:cs="Arial" w:eastAsia="Arial" w:hAnsi="Arial"/>
          <w:sz w:val="24"/>
          <w:szCs w:val="24"/>
          <w:rtl w:val="0"/>
        </w:rPr>
        <w:t xml:space="preserve">, se consideran los siguientes requisitos: </w:t>
      </w:r>
    </w:p>
    <w:p w:rsidR="00000000" w:rsidDel="00000000" w:rsidP="00000000" w:rsidRDefault="00000000" w:rsidRPr="00000000" w14:paraId="0000006E">
      <w:pPr>
        <w:spacing w:line="360" w:lineRule="auto"/>
        <w:ind w:left="0" w:right="138.54330708661507"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[Enlistar requisitos]</w:t>
      </w:r>
    </w:p>
    <w:p w:rsidR="00000000" w:rsidDel="00000000" w:rsidP="00000000" w:rsidRDefault="00000000" w:rsidRPr="00000000" w14:paraId="0000006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w:t>
      </w:r>
      <w:r w:rsidDel="00000000" w:rsidR="00000000" w:rsidRPr="00000000">
        <w:rPr>
          <w:rFonts w:ascii="Arial" w:cs="Arial" w:eastAsia="Arial" w:hAnsi="Arial"/>
          <w:sz w:val="24"/>
          <w:szCs w:val="24"/>
          <w:highlight w:val="yellow"/>
          <w:rtl w:val="0"/>
        </w:rPr>
        <w:t xml:space="preserve">[PROCESO DE SELECCIÓN]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se contemplan los siguientes multifactores:</w:t>
      </w:r>
    </w:p>
    <w:p w:rsidR="00000000" w:rsidDel="00000000" w:rsidP="00000000" w:rsidRDefault="00000000" w:rsidRPr="00000000" w14:paraId="00000070">
      <w:pPr>
        <w:spacing w:line="360" w:lineRule="auto"/>
        <w:ind w:left="0" w:right="138.54330708661507"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[ENLISTAR FACTORES]</w:t>
      </w:r>
    </w:p>
    <w:p w:rsidR="00000000" w:rsidDel="00000000" w:rsidP="00000000" w:rsidRDefault="00000000" w:rsidRPr="00000000" w14:paraId="00000071">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3">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w:t>
      </w:r>
      <w:r w:rsidDel="00000000" w:rsidR="00000000" w:rsidRPr="00000000">
        <w:rPr>
          <w:rFonts w:ascii="Arial" w:cs="Arial" w:eastAsia="Arial" w:hAnsi="Arial"/>
          <w:color w:val="ff0000"/>
          <w:sz w:val="24"/>
          <w:szCs w:val="24"/>
          <w:rtl w:val="0"/>
        </w:rPr>
        <w:t xml:space="preserve">(DOF, 2019)</w:t>
      </w:r>
      <w:r w:rsidDel="00000000" w:rsidR="00000000" w:rsidRPr="00000000">
        <w:rPr>
          <w:rFonts w:ascii="Arial" w:cs="Arial" w:eastAsia="Arial" w:hAnsi="Arial"/>
          <w:sz w:val="24"/>
          <w:szCs w:val="24"/>
          <w:rtl w:val="0"/>
        </w:rPr>
        <w:t xml:space="preserve"> como una herramienta de valoración de la práctica docente, un sistema de apreciación que deberá cumplir en todo momento con las siguientes características:</w:t>
      </w:r>
    </w:p>
    <w:p w:rsidR="00000000" w:rsidDel="00000000" w:rsidP="00000000" w:rsidRDefault="00000000" w:rsidRPr="00000000" w14:paraId="0000007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6">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7">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8">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9">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A">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B">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C">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highlight w:val="yellow"/>
          <w:rtl w:val="0"/>
        </w:rPr>
        <w:t xml:space="preserve">[PROCESO DE SELECCIÓN]</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highlight w:val="yellow"/>
          <w:rtl w:val="0"/>
        </w:rPr>
        <w:t xml:space="preserve">[ASPIRANTES]</w:t>
      </w:r>
      <w:r w:rsidDel="00000000" w:rsidR="00000000" w:rsidRPr="00000000">
        <w:rPr>
          <w:rFonts w:ascii="Arial" w:cs="Arial" w:eastAsia="Arial" w:hAnsi="Arial"/>
          <w:sz w:val="24"/>
          <w:szCs w:val="24"/>
          <w:rtl w:val="0"/>
        </w:rPr>
        <w:br w:type="textWrapping"/>
        <w:t xml:space="preserve"> a la </w:t>
      </w:r>
      <w:r w:rsidDel="00000000" w:rsidR="00000000" w:rsidRPr="00000000">
        <w:rPr>
          <w:rFonts w:ascii="Arial" w:cs="Arial" w:eastAsia="Arial" w:hAnsi="Arial"/>
          <w:sz w:val="24"/>
          <w:szCs w:val="24"/>
          <w:highlight w:val="yellow"/>
          <w:rtl w:val="0"/>
        </w:rPr>
        <w:t xml:space="preserve">[FUNCION/PROMOCION HORIZONTAL]</w:t>
      </w:r>
      <w:r w:rsidDel="00000000" w:rsidR="00000000" w:rsidRPr="00000000">
        <w:rPr>
          <w:rFonts w:ascii="Arial" w:cs="Arial" w:eastAsia="Arial" w:hAnsi="Arial"/>
          <w:sz w:val="24"/>
          <w:szCs w:val="24"/>
          <w:rtl w:val="0"/>
        </w:rPr>
        <w:t xml:space="preserve"> el SISAP plantea la aplicación de </w:t>
      </w:r>
      <w:r w:rsidDel="00000000" w:rsidR="00000000" w:rsidRPr="00000000">
        <w:rPr>
          <w:rFonts w:ascii="Arial" w:cs="Arial" w:eastAsia="Arial" w:hAnsi="Arial"/>
          <w:sz w:val="24"/>
          <w:szCs w:val="24"/>
          <w:highlight w:val="yellow"/>
          <w:rtl w:val="0"/>
        </w:rPr>
        <w:t xml:space="preserve">[NOMBRE DEL INSTRUMENTO]</w:t>
      </w:r>
      <w:r w:rsidDel="00000000" w:rsidR="00000000" w:rsidRPr="00000000">
        <w:rPr>
          <w:rFonts w:ascii="Arial" w:cs="Arial" w:eastAsia="Arial" w:hAnsi="Arial"/>
          <w:sz w:val="24"/>
          <w:szCs w:val="24"/>
          <w:rtl w:val="0"/>
        </w:rPr>
        <w:t xml:space="preserve">, en conjunto con </w:t>
      </w:r>
      <w:r w:rsidDel="00000000" w:rsidR="00000000" w:rsidRPr="00000000">
        <w:rPr>
          <w:rFonts w:ascii="Arial" w:cs="Arial" w:eastAsia="Arial" w:hAnsi="Arial"/>
          <w:sz w:val="24"/>
          <w:szCs w:val="24"/>
          <w:highlight w:val="yellow"/>
          <w:rtl w:val="0"/>
        </w:rPr>
        <w:t xml:space="preserve">[ENLISTAR LOS DEMÁS INSTRUMENTOS QUE SE APLICAN]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E">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0">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w:t>
      </w:r>
      <w:r w:rsidDel="00000000" w:rsidR="00000000" w:rsidRPr="00000000">
        <w:rPr>
          <w:rFonts w:ascii="Arial" w:cs="Arial" w:eastAsia="Arial" w:hAnsi="Arial"/>
          <w:color w:val="ff0000"/>
          <w:sz w:val="24"/>
          <w:szCs w:val="24"/>
          <w:rtl w:val="0"/>
        </w:rPr>
        <w:t xml:space="preserve">(SEP, 2019a)</w:t>
      </w:r>
      <w:r w:rsidDel="00000000" w:rsidR="00000000" w:rsidRPr="00000000">
        <w:rPr>
          <w:rFonts w:ascii="Arial" w:cs="Arial" w:eastAsia="Arial" w:hAnsi="Arial"/>
          <w:sz w:val="24"/>
          <w:szCs w:val="24"/>
          <w:rtl w:val="0"/>
        </w:rPr>
        <w:t xml:space="preserve">, que marcan los puntos de inflexión dentro de la trayectoria docente, así como definir los Perfiles, Criterios e Indicadores </w:t>
      </w:r>
      <w:r w:rsidDel="00000000" w:rsidR="00000000" w:rsidRPr="00000000">
        <w:rPr>
          <w:rFonts w:ascii="Arial" w:cs="Arial" w:eastAsia="Arial" w:hAnsi="Arial"/>
          <w:color w:val="ff0000"/>
          <w:sz w:val="24"/>
          <w:szCs w:val="24"/>
          <w:rtl w:val="0"/>
        </w:rPr>
        <w:t xml:space="preserve">(SEP, 2019b)</w:t>
      </w:r>
      <w:r w:rsidDel="00000000" w:rsidR="00000000" w:rsidRPr="00000000">
        <w:rPr>
          <w:rFonts w:ascii="Arial" w:cs="Arial" w:eastAsia="Arial" w:hAnsi="Arial"/>
          <w:sz w:val="24"/>
          <w:szCs w:val="24"/>
          <w:rtl w:val="0"/>
        </w:rPr>
        <w:t xml:space="preserve">,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1">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highlight w:val="yellow"/>
          <w:rtl w:val="0"/>
        </w:rPr>
        <w:t xml:space="preserve">[NOMBRE DEL INSTRUMENTO]</w:t>
      </w:r>
      <w:r w:rsidDel="00000000" w:rsidR="00000000" w:rsidRPr="00000000">
        <w:rPr>
          <w:rFonts w:ascii="Arial" w:cs="Arial" w:eastAsia="Arial" w:hAnsi="Arial"/>
          <w:sz w:val="24"/>
          <w:szCs w:val="24"/>
          <w:rtl w:val="0"/>
        </w:rPr>
        <w:t xml:space="preserve"> aplicado al personal con funciones </w:t>
      </w:r>
      <w:r w:rsidDel="00000000" w:rsidR="00000000" w:rsidRPr="00000000">
        <w:rPr>
          <w:rFonts w:ascii="Arial" w:cs="Arial" w:eastAsia="Arial" w:hAnsi="Arial"/>
          <w:sz w:val="24"/>
          <w:szCs w:val="24"/>
          <w:highlight w:val="yellow"/>
          <w:rtl w:val="0"/>
        </w:rPr>
        <w:t xml:space="preserve">[FIGURA-SUBFIGURA]</w:t>
      </w:r>
      <w:r w:rsidDel="00000000" w:rsidR="00000000" w:rsidRPr="00000000">
        <w:rPr>
          <w:rFonts w:ascii="Arial" w:cs="Arial" w:eastAsia="Arial" w:hAnsi="Arial"/>
          <w:sz w:val="24"/>
          <w:szCs w:val="24"/>
          <w:rtl w:val="0"/>
        </w:rPr>
        <w:t xml:space="preserve"> como parte del proceso de selección para la </w:t>
      </w:r>
      <w:r w:rsidDel="00000000" w:rsidR="00000000" w:rsidRPr="00000000">
        <w:rPr>
          <w:rFonts w:ascii="Arial" w:cs="Arial" w:eastAsia="Arial" w:hAnsi="Arial"/>
          <w:sz w:val="24"/>
          <w:szCs w:val="24"/>
          <w:highlight w:val="yellow"/>
          <w:rtl w:val="0"/>
        </w:rPr>
        <w:t xml:space="preserve">[PROCESO]</w:t>
      </w:r>
      <w:r w:rsidDel="00000000" w:rsidR="00000000" w:rsidRPr="00000000">
        <w:rPr>
          <w:rFonts w:ascii="Arial" w:cs="Arial" w:eastAsia="Arial" w:hAnsi="Arial"/>
          <w:sz w:val="24"/>
          <w:szCs w:val="24"/>
          <w:rtl w:val="0"/>
        </w:rPr>
        <w:t xml:space="preserve">,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color w:val="ff0000"/>
          <w:sz w:val="24"/>
          <w:szCs w:val="24"/>
          <w:rtl w:val="0"/>
        </w:rPr>
        <w:t xml:space="preserve">(SEP, 2019b)</w:t>
      </w:r>
      <w:r w:rsidDel="00000000" w:rsidR="00000000" w:rsidRPr="00000000">
        <w:rPr>
          <w:rFonts w:ascii="Arial" w:cs="Arial" w:eastAsia="Arial" w:hAnsi="Arial"/>
          <w:sz w:val="24"/>
          <w:szCs w:val="24"/>
          <w:rtl w:val="0"/>
        </w:rPr>
        <w:t xml:space="preserve"> y considera la medición de los siguientes dominios, criterios e indicadores:</w:t>
      </w:r>
    </w:p>
    <w:p w:rsidR="00000000" w:rsidDel="00000000" w:rsidP="00000000" w:rsidRDefault="00000000" w:rsidRPr="00000000" w14:paraId="00000082">
      <w:pPr>
        <w:spacing w:line="360" w:lineRule="auto"/>
        <w:ind w:left="0" w:right="138.54330708661507" w:firstLine="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[Descripción de los aspectos de los Perfiles a medir con cada instrumento de acuerdo con el proceso en que se aplica y la Figura-subfigura a la que esté dirigida el documento]</w:t>
      </w:r>
    </w:p>
    <w:p w:rsidR="00000000" w:rsidDel="00000000" w:rsidP="00000000" w:rsidRDefault="00000000" w:rsidRPr="00000000" w14:paraId="00000083">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8">
      <w:pPr>
        <w:spacing w:line="360" w:lineRule="auto"/>
        <w:ind w:right="138.54330708661507"/>
        <w:rPr>
          <w:rFonts w:ascii="Arial" w:cs="Arial" w:eastAsia="Arial" w:hAnsi="Arial"/>
          <w:sz w:val="30"/>
          <w:szCs w:val="30"/>
        </w:rPr>
      </w:pPr>
      <w:r w:rsidDel="00000000" w:rsidR="00000000" w:rsidRPr="00000000">
        <w:rPr>
          <w:rFonts w:ascii="Arial" w:cs="Arial" w:eastAsia="Arial" w:hAnsi="Arial"/>
          <w:sz w:val="24"/>
          <w:szCs w:val="24"/>
          <w:highlight w:val="yellow"/>
          <w:rtl w:val="0"/>
        </w:rPr>
        <w:t xml:space="preserve">[Justificación teórica de elementos contenidos en el instrumento, de acuerdo con los Perfiles, Criterios e Indicadores]</w:t>
      </w:r>
      <w:r w:rsidDel="00000000" w:rsidR="00000000" w:rsidRPr="00000000">
        <w:rPr>
          <w:rtl w:val="0"/>
        </w:rPr>
      </w:r>
    </w:p>
    <w:p w:rsidR="00000000" w:rsidDel="00000000" w:rsidP="00000000" w:rsidRDefault="00000000" w:rsidRPr="00000000" w14:paraId="0000009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D">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E">
      <w:pPr>
        <w:spacing w:line="360" w:lineRule="auto"/>
        <w:ind w:right="138.54330708661507"/>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[Se enlistan las referencias utilizadas en el Marco Teórico + Referencia correspondiente a los Perfiles, Criterios e Indicadores]</w:t>
      </w:r>
    </w:p>
    <w:p w:rsidR="00000000" w:rsidDel="00000000" w:rsidP="00000000" w:rsidRDefault="00000000" w:rsidRPr="00000000" w14:paraId="000000AF">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0">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1">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w:t>
      </w:r>
      <w:r w:rsidDel="00000000" w:rsidR="00000000" w:rsidRPr="00000000">
        <w:rPr>
          <w:rFonts w:ascii="Arial" w:cs="Arial" w:eastAsia="Arial" w:hAnsi="Arial"/>
          <w:sz w:val="24"/>
          <w:szCs w:val="24"/>
          <w:highlight w:val="yellow"/>
          <w:rtl w:val="0"/>
        </w:rPr>
        <w:t xml:space="preserve">Lineamientos generales del proceso de selección para la promoción a funciones de dirección y de supervisión en educación básica (Promoción vertical).</w:t>
      </w:r>
    </w:p>
    <w:p w:rsidR="00000000" w:rsidDel="00000000" w:rsidP="00000000" w:rsidRDefault="00000000" w:rsidRPr="00000000" w14:paraId="000000B2">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B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1">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2">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3QMK6XaKf6Z3raU3QWT6x3LqZQ==">AMUW2mWL0816FRxOza85glJCtDIAUHfQfE6sBQOx4dywW6k3Ndh5O1Ttc5RhfRA08774g2ZVqiortt5hPyGLqhZwL/j4EqDBcech635m9IGldtQmD2dgFOjUoeuZMgQ9dH81qW+Xx1BOqYdhu3l/4Qe65qv1qM/y7f/hdXAtjQTBjSg4tYrcXIc=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