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a1qa5j8swbnr"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Promoción Vertical a la función Directiva en Educación Inicial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44"/>
          <w:szCs w:val="44"/>
        </w:rPr>
      </w:pPr>
      <w:bookmarkStart w:colFirst="0" w:colLast="0" w:name="_heading=h.fjcfkn26c2p" w:id="4"/>
      <w:bookmarkEnd w:id="4"/>
      <w:r w:rsidDel="00000000" w:rsidR="00000000" w:rsidRPr="00000000">
        <w:rPr>
          <w:rFonts w:ascii="Arial" w:cs="Arial" w:eastAsia="Arial" w:hAnsi="Arial"/>
          <w:b w:val="1"/>
          <w:sz w:val="36"/>
          <w:szCs w:val="36"/>
          <w:rtl w:val="0"/>
        </w:rPr>
        <w:t xml:space="preserve">(Versión preliminar)</w:t>
      </w:r>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Inicial. Este instrumento tiene como objetivo principal valorar los conocimientos y aptitudes que se consideran necesarias para el ejercicio de la función Directiva en Educación Inicial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Inicial.</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C">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D">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E">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F">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70">
      <w:pPr>
        <w:numPr>
          <w:ilvl w:val="1"/>
          <w:numId w:val="5"/>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1">
      <w:pPr>
        <w:numPr>
          <w:ilvl w:val="1"/>
          <w:numId w:val="5"/>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2">
      <w:pPr>
        <w:numPr>
          <w:ilvl w:val="1"/>
          <w:numId w:val="5"/>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3">
      <w:pPr>
        <w:numPr>
          <w:ilvl w:val="1"/>
          <w:numId w:val="5"/>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4">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5">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6">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7">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8">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9">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A">
      <w:pPr>
        <w:numPr>
          <w:ilvl w:val="0"/>
          <w:numId w:val="5"/>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7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7F">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80">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2">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A">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B">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rsidR="00000000" w:rsidDel="00000000" w:rsidP="00000000" w:rsidRDefault="00000000" w:rsidRPr="00000000" w14:paraId="0000008D">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90">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Vertical a funciones de Dirección en Educación Inicial,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9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9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9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A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A1">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 </w:t>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 </w:t>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Yovanoff,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Vertical a funciones directivas en educación inicial,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directiva en educación inicial, que requiere de los participantes la cercanía con las necesidades de desarrollo motor, socio-afectivo e intelectual de los estudiantes (Núñez, Hernández &amp; Núñez, 2002; </w:t>
      </w:r>
      <w:r w:rsidDel="00000000" w:rsidR="00000000" w:rsidRPr="00000000">
        <w:rPr>
          <w:rFonts w:ascii="Arial" w:cs="Arial" w:eastAsia="Arial" w:hAnsi="Arial"/>
          <w:color w:val="222222"/>
          <w:sz w:val="24"/>
          <w:szCs w:val="24"/>
          <w:highlight w:val="white"/>
          <w:rtl w:val="0"/>
        </w:rPr>
        <w:t xml:space="preserve">Flores &amp; Martín, 2006; Sarlé, 2011; Morillo, Figueroa &amp; García, 2013; Pacheco, 2015)</w:t>
      </w: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0">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1">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2">
      <w:pPr>
        <w:numPr>
          <w:ilvl w:val="0"/>
          <w:numId w:val="3"/>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3">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4">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5">
      <w:pPr>
        <w:numPr>
          <w:ilvl w:val="0"/>
          <w:numId w:val="3"/>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C6">
      <w:pPr>
        <w:numPr>
          <w:ilvl w:val="0"/>
          <w:numId w:val="3"/>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9">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CA">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B">
      <w:pPr>
        <w:numPr>
          <w:ilvl w:val="0"/>
          <w:numId w:val="3"/>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CC">
      <w:pPr>
        <w:numPr>
          <w:ilvl w:val="0"/>
          <w:numId w:val="3"/>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D">
      <w:pPr>
        <w:numPr>
          <w:ilvl w:val="0"/>
          <w:numId w:val="3"/>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CE">
      <w:pPr>
        <w:numPr>
          <w:ilvl w:val="0"/>
          <w:numId w:val="3"/>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Flores, C. A., &amp; Martín, M. (2006). El aprendizaje de la lectura y la escritura en Educación Inicial. </w:t>
      </w:r>
      <w:r w:rsidDel="00000000" w:rsidR="00000000" w:rsidRPr="00000000">
        <w:rPr>
          <w:rFonts w:ascii="Arial" w:cs="Arial" w:eastAsia="Arial" w:hAnsi="Arial"/>
          <w:i w:val="1"/>
          <w:color w:val="222222"/>
          <w:sz w:val="24"/>
          <w:szCs w:val="24"/>
          <w:highlight w:val="white"/>
          <w:rtl w:val="0"/>
        </w:rPr>
        <w:t xml:space="preserve">Sapiens. Revista Universitaria de Investigación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 69-79.</w:t>
      </w:r>
    </w:p>
    <w:p w:rsidR="00000000" w:rsidDel="00000000" w:rsidP="00000000" w:rsidRDefault="00000000" w:rsidRPr="00000000" w14:paraId="000000CF">
      <w:pPr>
        <w:numPr>
          <w:ilvl w:val="0"/>
          <w:numId w:val="3"/>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0">
      <w:pPr>
        <w:numPr>
          <w:ilvl w:val="0"/>
          <w:numId w:val="3"/>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1">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2">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3">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4">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5">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6">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7">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D8">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9">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Morillo, M. T., Figueroa, N., &amp; García, M. (2013). Interdependencia del desarrollo cognitivo y afectivo. Aproximaciones desde la epistemología genética para la educación inicial. </w:t>
      </w:r>
      <w:r w:rsidDel="00000000" w:rsidR="00000000" w:rsidRPr="00000000">
        <w:rPr>
          <w:rFonts w:ascii="Arial" w:cs="Arial" w:eastAsia="Arial" w:hAnsi="Arial"/>
          <w:i w:val="1"/>
          <w:color w:val="222222"/>
          <w:sz w:val="24"/>
          <w:szCs w:val="24"/>
          <w:highlight w:val="white"/>
          <w:rtl w:val="0"/>
        </w:rPr>
        <w:t xml:space="preserve">Revista de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w:t>
      </w:r>
      <w:r w:rsidDel="00000000" w:rsidR="00000000" w:rsidRPr="00000000">
        <w:rPr>
          <w:rFonts w:ascii="Arial" w:cs="Arial" w:eastAsia="Arial" w:hAnsi="Arial"/>
          <w:color w:val="222222"/>
          <w:sz w:val="24"/>
          <w:szCs w:val="24"/>
          <w:highlight w:val="white"/>
          <w:rtl w:val="0"/>
        </w:rPr>
        <w:t xml:space="preserve">(95-96), 59-87.</w:t>
      </w:r>
    </w:p>
    <w:p w:rsidR="00000000" w:rsidDel="00000000" w:rsidP="00000000" w:rsidRDefault="00000000" w:rsidRPr="00000000" w14:paraId="000000DA">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Pinto Rodríguez, M. M., &amp; Misas Avella, M. M. (2014). La educación inicial y la educación preescolar: perspectivas de desarrollo en Colombia y su importancia en la configuración del mundo de los niños.</w:t>
      </w:r>
    </w:p>
    <w:p w:rsidR="00000000" w:rsidDel="00000000" w:rsidP="00000000" w:rsidRDefault="00000000" w:rsidRPr="00000000" w14:paraId="000000DB">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DC">
      <w:pPr>
        <w:numPr>
          <w:ilvl w:val="0"/>
          <w:numId w:val="3"/>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Núñez, J. C., Hernández, A. P., &amp; Núñez, P. R. (2002). El niño entre cuatro y cinco años: características de su desarrollo socioemocional, psicomotriz y cognitivo lingüístico. </w:t>
      </w:r>
      <w:r w:rsidDel="00000000" w:rsidR="00000000" w:rsidRPr="00000000">
        <w:rPr>
          <w:rFonts w:ascii="Arial" w:cs="Arial" w:eastAsia="Arial" w:hAnsi="Arial"/>
          <w:i w:val="1"/>
          <w:color w:val="222222"/>
          <w:sz w:val="24"/>
          <w:szCs w:val="24"/>
          <w:highlight w:val="white"/>
          <w:rtl w:val="0"/>
        </w:rPr>
        <w:t xml:space="preserve">Revista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26</w:t>
      </w:r>
      <w:r w:rsidDel="00000000" w:rsidR="00000000" w:rsidRPr="00000000">
        <w:rPr>
          <w:rFonts w:ascii="Arial" w:cs="Arial" w:eastAsia="Arial" w:hAnsi="Arial"/>
          <w:color w:val="222222"/>
          <w:sz w:val="24"/>
          <w:szCs w:val="24"/>
          <w:highlight w:val="white"/>
          <w:rtl w:val="0"/>
        </w:rPr>
        <w:t xml:space="preserve">(1), 169-182.</w:t>
      </w:r>
    </w:p>
    <w:p w:rsidR="00000000" w:rsidDel="00000000" w:rsidP="00000000" w:rsidRDefault="00000000" w:rsidRPr="00000000" w14:paraId="000000DD">
      <w:pPr>
        <w:numPr>
          <w:ilvl w:val="0"/>
          <w:numId w:val="3"/>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Pacheco, G. (2015). Psicomotricidad en educación inicial. </w:t>
      </w:r>
      <w:r w:rsidDel="00000000" w:rsidR="00000000" w:rsidRPr="00000000">
        <w:rPr>
          <w:rFonts w:ascii="Arial" w:cs="Arial" w:eastAsia="Arial" w:hAnsi="Arial"/>
          <w:i w:val="1"/>
          <w:color w:val="222222"/>
          <w:sz w:val="24"/>
          <w:szCs w:val="24"/>
          <w:highlight w:val="white"/>
          <w:rtl w:val="0"/>
        </w:rPr>
        <w:t xml:space="preserve">Algunas consideraciones conceptuales</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E">
      <w:pPr>
        <w:numPr>
          <w:ilvl w:val="0"/>
          <w:numId w:val="3"/>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DF">
      <w:pPr>
        <w:numPr>
          <w:ilvl w:val="0"/>
          <w:numId w:val="3"/>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0">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1">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2">
      <w:pPr>
        <w:spacing w:after="0"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E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8">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kjZT6VdML7zsBaa1JVMZxQbZPw==">AMUW2mX/JgdCEPWoN1wHk4g7aUGBHRmwjpa7uozTffiBhmrXQevuxkmnbe5PuQnH52dNM094dMs4QVOvInnFBQzLeKREU6kHeqaTHBwPoCBbpizE+ObyOk4Efij9+LAyPXoEOu8lI4JdqLg7kNPI0aOR89dWp5/gojKxlMXSGj2rYbTJ4IPHs+h1A5ppiNx9Fej7Kn2Zvty/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