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19685039370086" w:right="138.54330708661507" w:firstLine="0"/>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19685039370086" w:right="138.54330708661507" w:firstLine="0"/>
        <w:jc w:val="center"/>
        <w:rPr>
          <w:rFonts w:ascii="Arial" w:cs="Arial" w:eastAsia="Arial" w:hAnsi="Arial"/>
          <w:b w:val="1"/>
          <w:sz w:val="44"/>
          <w:szCs w:val="4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line="276" w:lineRule="auto"/>
        <w:ind w:left="425.19685039370086" w:right="138.54330708661507" w:firstLine="0"/>
        <w:jc w:val="center"/>
        <w:rPr>
          <w:rFonts w:ascii="Arial" w:cs="Arial" w:eastAsia="Arial" w:hAnsi="Arial"/>
          <w:b w:val="1"/>
          <w:sz w:val="36"/>
          <w:szCs w:val="36"/>
          <w:highlight w:val="yellow"/>
        </w:rPr>
      </w:pPr>
      <w:bookmarkStart w:colFirst="0" w:colLast="0" w:name="_heading=h.3znysh7" w:id="3"/>
      <w:bookmarkEnd w:id="3"/>
      <w:r w:rsidDel="00000000" w:rsidR="00000000" w:rsidRPr="00000000">
        <w:rPr>
          <w:rFonts w:ascii="Arial" w:cs="Arial" w:eastAsia="Arial" w:hAnsi="Arial"/>
          <w:b w:val="1"/>
          <w:sz w:val="36"/>
          <w:szCs w:val="36"/>
          <w:rtl w:val="0"/>
        </w:rPr>
        <w:t xml:space="preserve">Marco de Referencia para el desarrollo y uso del Instrumento de valoración de conocimientos y aptitudes docentes como parte del Proceso de Selección para la Promoción Vertical a la función Directiva en Educación Primaria</w:t>
      </w:r>
      <w:r w:rsidDel="00000000" w:rsidR="00000000" w:rsidRPr="00000000">
        <w:rPr>
          <w:rtl w:val="0"/>
        </w:rPr>
      </w:r>
    </w:p>
    <w:p w:rsidR="00000000" w:rsidDel="00000000" w:rsidP="00000000" w:rsidRDefault="00000000" w:rsidRPr="00000000" w14:paraId="00000005">
      <w:pPr>
        <w:spacing w:line="276" w:lineRule="auto"/>
        <w:ind w:left="425.19685039370086" w:right="138.54330708661507" w:firstLine="0"/>
        <w:jc w:val="center"/>
        <w:rPr>
          <w:rFonts w:ascii="Arial" w:cs="Arial" w:eastAsia="Arial" w:hAnsi="Arial"/>
          <w:b w:val="1"/>
          <w:sz w:val="36"/>
          <w:szCs w:val="36"/>
        </w:rPr>
      </w:pPr>
      <w:bookmarkStart w:colFirst="0" w:colLast="0" w:name="_heading=h.fjcfkn26c2p" w:id="4"/>
      <w:bookmarkEnd w:id="4"/>
      <w:r w:rsidDel="00000000" w:rsidR="00000000" w:rsidRPr="00000000">
        <w:rPr>
          <w:rFonts w:ascii="Arial" w:cs="Arial" w:eastAsia="Arial" w:hAnsi="Arial"/>
          <w:b w:val="1"/>
          <w:sz w:val="36"/>
          <w:szCs w:val="36"/>
          <w:rtl w:val="0"/>
        </w:rPr>
        <w:t xml:space="preserve">(Versión preliminar)</w:t>
      </w:r>
    </w:p>
    <w:p w:rsidR="00000000" w:rsidDel="00000000" w:rsidP="00000000" w:rsidRDefault="00000000" w:rsidRPr="00000000" w14:paraId="00000006">
      <w:pPr>
        <w:spacing w:line="276" w:lineRule="auto"/>
        <w:ind w:left="425.19685039370086" w:right="138.54330708661507" w:firstLine="0"/>
        <w:rPr/>
      </w:pPr>
      <w:r w:rsidDel="00000000" w:rsidR="00000000" w:rsidRPr="00000000">
        <w:rPr>
          <w:rtl w:val="0"/>
        </w:rPr>
        <w:tab/>
      </w:r>
    </w:p>
    <w:p w:rsidR="00000000" w:rsidDel="00000000" w:rsidP="00000000" w:rsidRDefault="00000000" w:rsidRPr="00000000" w14:paraId="00000007">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8">
      <w:pPr>
        <w:widowControl w:val="0"/>
        <w:spacing w:after="0" w:before="16" w:line="26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A">
      <w:pPr>
        <w:widowControl w:val="0"/>
        <w:spacing w:after="0" w:line="24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widowControl w:val="0"/>
        <w:spacing w:after="0" w:before="2" w:line="240" w:lineRule="auto"/>
        <w:ind w:left="425.19685039370086" w:right="138.54330708661507"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before="12" w:line="28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highlight w:val="red"/>
          <w:rtl w:val="0"/>
        </w:rPr>
        <w:t xml:space="preserve">XX</w:t>
      </w:r>
      <w:r w:rsidDel="00000000" w:rsidR="00000000" w:rsidRPr="00000000">
        <w:rPr>
          <w:rFonts w:ascii="Arial" w:cs="Arial" w:eastAsia="Arial" w:hAnsi="Arial"/>
          <w:sz w:val="24"/>
          <w:szCs w:val="24"/>
          <w:rtl w:val="0"/>
        </w:rPr>
        <w:t xml:space="preserve"> de febrero de 2020.</w:t>
      </w:r>
    </w:p>
    <w:p w:rsidR="00000000" w:rsidDel="00000000" w:rsidP="00000000" w:rsidRDefault="00000000" w:rsidRPr="00000000" w14:paraId="0000001E">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1F">
      <w:pPr>
        <w:spacing w:line="276" w:lineRule="auto"/>
        <w:ind w:left="425.19685039370086" w:right="138.54330708661507"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r>
    </w:p>
    <w:p w:rsidR="00000000" w:rsidDel="00000000" w:rsidP="00000000" w:rsidRDefault="00000000" w:rsidRPr="00000000" w14:paraId="00000021">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Índice de tablas y figuras</w:t>
      </w:r>
    </w:p>
    <w:p w:rsidR="00000000" w:rsidDel="00000000" w:rsidP="00000000" w:rsidRDefault="00000000" w:rsidRPr="00000000" w14:paraId="00000022">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r>
    </w:p>
    <w:p w:rsidR="00000000" w:rsidDel="00000000" w:rsidP="00000000" w:rsidRDefault="00000000" w:rsidRPr="00000000" w14:paraId="0000002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numPr>
          <w:ilvl w:val="0"/>
          <w:numId w:val="4"/>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25">
      <w:pPr>
        <w:spacing w:line="276" w:lineRule="auto"/>
        <w:ind w:left="144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numPr>
          <w:ilvl w:val="0"/>
          <w:numId w:val="4"/>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Marco normativo </w:t>
      </w:r>
      <w:r w:rsidDel="00000000" w:rsidR="00000000" w:rsidRPr="00000000">
        <w:rPr>
          <w:rtl w:val="0"/>
        </w:rPr>
      </w:r>
    </w:p>
    <w:p w:rsidR="00000000" w:rsidDel="00000000" w:rsidP="00000000" w:rsidRDefault="00000000" w:rsidRPr="00000000" w14:paraId="00000027">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y el Sistema de Apreciación</w:t>
      </w:r>
    </w:p>
    <w:p w:rsidR="00000000" w:rsidDel="00000000" w:rsidP="00000000" w:rsidRDefault="00000000" w:rsidRPr="00000000" w14:paraId="00000028">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2.2. Perfiles, criterios e indicadores  </w:t>
      </w:r>
    </w:p>
    <w:p w:rsidR="00000000" w:rsidDel="00000000" w:rsidP="00000000" w:rsidRDefault="00000000" w:rsidRPr="00000000" w14:paraId="00000029">
      <w:pPr>
        <w:spacing w:line="276" w:lineRule="auto"/>
        <w:ind w:left="992.1259842519685"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numPr>
          <w:ilvl w:val="0"/>
          <w:numId w:val="4"/>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Referentes teóricos</w:t>
      </w:r>
      <w:r w:rsidDel="00000000" w:rsidR="00000000" w:rsidRPr="00000000">
        <w:rPr>
          <w:rtl w:val="0"/>
        </w:rPr>
      </w:r>
    </w:p>
    <w:p w:rsidR="00000000" w:rsidDel="00000000" w:rsidP="00000000" w:rsidRDefault="00000000" w:rsidRPr="00000000" w14:paraId="0000002B">
      <w:pPr>
        <w:spacing w:line="276" w:lineRule="auto"/>
        <w:ind w:left="144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numPr>
          <w:ilvl w:val="0"/>
          <w:numId w:val="4"/>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2D">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numPr>
          <w:ilvl w:val="0"/>
          <w:numId w:val="4"/>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o Apéndice</w:t>
      </w:r>
    </w:p>
    <w:p w:rsidR="00000000" w:rsidDel="00000000" w:rsidP="00000000" w:rsidRDefault="00000000" w:rsidRPr="00000000" w14:paraId="0000002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figuras y tablas</w:t>
      </w:r>
    </w:p>
    <w:p w:rsidR="00000000" w:rsidDel="00000000" w:rsidP="00000000" w:rsidRDefault="00000000" w:rsidRPr="00000000" w14:paraId="0000003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52">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53">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54">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55">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56">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57">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58">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59">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5A">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5B">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5C">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5D">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5E">
      <w:pPr>
        <w:spacing w:line="276" w:lineRule="auto"/>
        <w:ind w:left="42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5F">
      <w:pPr>
        <w:spacing w:line="276" w:lineRule="auto"/>
        <w:ind w:left="0" w:right="563.7401574803164"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60">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w:t>
      </w:r>
      <w:r w:rsidDel="00000000" w:rsidR="00000000" w:rsidRPr="00000000">
        <w:rPr>
          <w:rFonts w:ascii="Arial" w:cs="Arial" w:eastAsia="Arial" w:hAnsi="Arial"/>
          <w:sz w:val="24"/>
          <w:szCs w:val="24"/>
          <w:rtl w:val="0"/>
        </w:rPr>
        <w:t xml:space="preserve">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61">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rsidR="00000000" w:rsidDel="00000000" w:rsidP="00000000" w:rsidRDefault="00000000" w:rsidRPr="00000000" w14:paraId="00000062">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presenta el Marco Referencial donde se detallan los referentes normativos y teóricos que subyacen al Instrumento de valoración de conocimientos y aptitudes docentes, uno de los instrumentos de apreciación cuya aplicación y calificación se considera parte del Proceso de Selección para la Promoción Vertical, en el que participan los aspirantes a obtener una plaza con funciones de Dirección en Educación Primaria. Este instrumento tiene como objetivo principal valorar los conocimientos y aptitudes que se consideran necesarias para el ejercicio de la función Directiva en Educación Primaria en los aspirantes a ser seleccionados conforme a los Perfiles profesionales que constituyen el referente oficial en cuanto a las características que se consideran esenciales para el desempeño de esta función.</w:t>
      </w:r>
    </w:p>
    <w:p w:rsidR="00000000" w:rsidDel="00000000" w:rsidP="00000000" w:rsidRDefault="00000000" w:rsidRPr="00000000" w14:paraId="00000063">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se caracteriza por ser una prueba objetiva de opción múltiple,  desarrollada bajo el enfoque metodológico planteado por los modelos de diagnóstico cognitivo con una extensión de 60 ítems distribuidos en dos grandes módulos: un módulo general con 40 ítems orientados a la medición de aspectos comunes a la práctica Directiva y un módulo específico al desempeño de la función en Educación Primaria.</w:t>
      </w:r>
    </w:p>
    <w:p w:rsidR="00000000" w:rsidDel="00000000" w:rsidP="00000000" w:rsidRDefault="00000000" w:rsidRPr="00000000" w14:paraId="00000064">
      <w:pPr>
        <w:spacing w:line="360" w:lineRule="auto"/>
        <w:ind w:left="425.19685039370086" w:right="563.740157480316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spacing w:line="276" w:lineRule="auto"/>
        <w:ind w:left="0" w:right="138.54330708661507" w:firstLine="0"/>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6">
      <w:pPr>
        <w:spacing w:line="276"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68">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69">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En el caso particular de la Promoción Vertical, se consideran los siguientes requisitos: </w:t>
      </w:r>
    </w:p>
    <w:p w:rsidR="00000000" w:rsidDel="00000000" w:rsidP="00000000" w:rsidRDefault="00000000" w:rsidRPr="00000000" w14:paraId="0000006A">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una categoría registrada en el catálogo respectivo</w:t>
      </w:r>
    </w:p>
    <w:p w:rsidR="00000000" w:rsidDel="00000000" w:rsidP="00000000" w:rsidRDefault="00000000" w:rsidRPr="00000000" w14:paraId="0000006B">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Tener la categoría de antecedente inmediata inferior a la que aspira promoverse, correspondiente al nivel y servicio educativo en el que se desempeña. Debiendo ostentarla con código 10, o su equivalente en las entidades federativas</w:t>
      </w:r>
    </w:p>
    <w:p w:rsidR="00000000" w:rsidDel="00000000" w:rsidP="00000000" w:rsidRDefault="00000000" w:rsidRPr="00000000" w14:paraId="0000006C">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Participar en la promoción vertical con una categoría, acorde al centro de trabajo al que está adscrito</w:t>
      </w:r>
    </w:p>
    <w:p w:rsidR="00000000" w:rsidDel="00000000" w:rsidP="00000000" w:rsidRDefault="00000000" w:rsidRPr="00000000" w14:paraId="0000006D">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Desempeñar la función que corresponde a su categoría: </w:t>
      </w:r>
    </w:p>
    <w:p w:rsidR="00000000" w:rsidDel="00000000" w:rsidP="00000000" w:rsidRDefault="00000000" w:rsidRPr="00000000" w14:paraId="0000006E">
      <w:pPr>
        <w:numPr>
          <w:ilvl w:val="1"/>
          <w:numId w:val="1"/>
        </w:numPr>
        <w:spacing w:after="0" w:afterAutospacing="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Docente</w:t>
      </w:r>
    </w:p>
    <w:p w:rsidR="00000000" w:rsidDel="00000000" w:rsidP="00000000" w:rsidRDefault="00000000" w:rsidRPr="00000000" w14:paraId="0000006F">
      <w:pPr>
        <w:numPr>
          <w:ilvl w:val="1"/>
          <w:numId w:val="1"/>
        </w:numPr>
        <w:spacing w:after="0" w:afterAutospacing="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Subdirector</w:t>
      </w:r>
    </w:p>
    <w:p w:rsidR="00000000" w:rsidDel="00000000" w:rsidP="00000000" w:rsidRDefault="00000000" w:rsidRPr="00000000" w14:paraId="00000070">
      <w:pPr>
        <w:numPr>
          <w:ilvl w:val="1"/>
          <w:numId w:val="1"/>
        </w:numPr>
        <w:spacing w:after="0" w:afterAutospacing="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Director</w:t>
      </w:r>
    </w:p>
    <w:p w:rsidR="00000000" w:rsidDel="00000000" w:rsidP="00000000" w:rsidRDefault="00000000" w:rsidRPr="00000000" w14:paraId="00000071">
      <w:pPr>
        <w:numPr>
          <w:ilvl w:val="1"/>
          <w:numId w:val="1"/>
        </w:numPr>
        <w:spacing w:after="0" w:afterAutospacing="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Supervisor</w:t>
      </w:r>
    </w:p>
    <w:p w:rsidR="00000000" w:rsidDel="00000000" w:rsidP="00000000" w:rsidRDefault="00000000" w:rsidRPr="00000000" w14:paraId="00000072">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el título de licenciatura conforme lo determine el perfil correspondiente</w:t>
      </w:r>
    </w:p>
    <w:p w:rsidR="00000000" w:rsidDel="00000000" w:rsidP="00000000" w:rsidRDefault="00000000" w:rsidRPr="00000000" w14:paraId="00000073">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Cubrir el perfil establecido para la categoría a la que desea promoverse</w:t>
      </w:r>
    </w:p>
    <w:p w:rsidR="00000000" w:rsidDel="00000000" w:rsidP="00000000" w:rsidRDefault="00000000" w:rsidRPr="00000000" w14:paraId="00000074">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experiencia mínima de cuatro años en la función docente y nombramiento definitivo para participar en el proceso de selección a la categoría inmediata superior</w:t>
      </w:r>
    </w:p>
    <w:p w:rsidR="00000000" w:rsidDel="00000000" w:rsidP="00000000" w:rsidRDefault="00000000" w:rsidRPr="00000000" w14:paraId="00000075">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experiencia mínima de cinco años en la función directiva o de supervisión y nombramiento definitivo para participar en el proceso de selección a la categoría inmediata superior</w:t>
      </w:r>
    </w:p>
    <w:p w:rsidR="00000000" w:rsidDel="00000000" w:rsidP="00000000" w:rsidRDefault="00000000" w:rsidRPr="00000000" w14:paraId="00000076">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Cumplir con las reglas de compatibilidad que emita la Unidad del Sistema, si cuenta con dos o más plazas, tanto previo a su participación en el proceso de selección a funciones de dirección o de supervisión como al promoverse, si es el caso</w:t>
      </w:r>
    </w:p>
    <w:p w:rsidR="00000000" w:rsidDel="00000000" w:rsidP="00000000" w:rsidRDefault="00000000" w:rsidRPr="00000000" w14:paraId="00000077">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un mínimo de 30 horas/semana/mes, en el caso del personal docente de nivel de secundaria, y</w:t>
      </w:r>
    </w:p>
    <w:p w:rsidR="00000000" w:rsidDel="00000000" w:rsidP="00000000" w:rsidRDefault="00000000" w:rsidRPr="00000000" w14:paraId="00000078">
      <w:pPr>
        <w:numPr>
          <w:ilvl w:val="0"/>
          <w:numId w:val="1"/>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Participar con un mínimo de 25 horas/semana/mes, en el caso del personal de educación física. </w:t>
      </w:r>
      <w:r w:rsidDel="00000000" w:rsidR="00000000" w:rsidRPr="00000000">
        <w:rPr>
          <w:rtl w:val="0"/>
        </w:rPr>
      </w:r>
    </w:p>
    <w:p w:rsidR="00000000" w:rsidDel="00000000" w:rsidP="00000000" w:rsidRDefault="00000000" w:rsidRPr="00000000" w14:paraId="00000079">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Promoción Vertical (DOF, 2019), se contemplan los siguientes multifactores:</w:t>
      </w:r>
    </w:p>
    <w:p w:rsidR="00000000" w:rsidDel="00000000" w:rsidP="00000000" w:rsidRDefault="00000000" w:rsidRPr="00000000" w14:paraId="0000007A">
      <w:pPr>
        <w:numPr>
          <w:ilvl w:val="0"/>
          <w:numId w:val="5"/>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resultados del SISAP</w:t>
      </w:r>
    </w:p>
    <w:p w:rsidR="00000000" w:rsidDel="00000000" w:rsidP="00000000" w:rsidRDefault="00000000" w:rsidRPr="00000000" w14:paraId="0000007B">
      <w:pPr>
        <w:numPr>
          <w:ilvl w:val="0"/>
          <w:numId w:val="5"/>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antigüedad en el servicio.</w:t>
      </w:r>
    </w:p>
    <w:p w:rsidR="00000000" w:rsidDel="00000000" w:rsidP="00000000" w:rsidRDefault="00000000" w:rsidRPr="00000000" w14:paraId="0000007C">
      <w:pPr>
        <w:numPr>
          <w:ilvl w:val="0"/>
          <w:numId w:val="5"/>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experiencia y tiempo de trabajo en zonas de marginación, pobreza y descomposición social.</w:t>
      </w:r>
    </w:p>
    <w:p w:rsidR="00000000" w:rsidDel="00000000" w:rsidP="00000000" w:rsidRDefault="00000000" w:rsidRPr="00000000" w14:paraId="0000007D">
      <w:pPr>
        <w:numPr>
          <w:ilvl w:val="0"/>
          <w:numId w:val="5"/>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reconocimiento al buen desempeño por la comunidad educativa, con la participación de madres y padres de familia o tutores, alumnos y compañeros de trabajo.</w:t>
      </w:r>
    </w:p>
    <w:p w:rsidR="00000000" w:rsidDel="00000000" w:rsidP="00000000" w:rsidRDefault="00000000" w:rsidRPr="00000000" w14:paraId="0000007E">
      <w:pPr>
        <w:spacing w:line="360" w:lineRule="auto"/>
        <w:ind w:left="0" w:right="138.5433070866150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F">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80">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81">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82">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83">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84">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85">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 </w:t>
      </w:r>
      <w:r w:rsidDel="00000000" w:rsidR="00000000" w:rsidRPr="00000000">
        <w:rPr>
          <w:rFonts w:ascii="Arial" w:cs="Arial" w:eastAsia="Arial" w:hAnsi="Arial"/>
          <w:sz w:val="24"/>
          <w:szCs w:val="24"/>
          <w:rtl w:val="0"/>
        </w:rPr>
        <w:t xml:space="preserve">y prioriza la necesidad de garantizar la falta de sesgos, prejuicios o tratamientos diferenciados.</w:t>
      </w:r>
    </w:p>
    <w:p w:rsidR="00000000" w:rsidDel="00000000" w:rsidP="00000000" w:rsidRDefault="00000000" w:rsidRPr="00000000" w14:paraId="00000086">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87">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88">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89">
      <w:pPr>
        <w:numPr>
          <w:ilvl w:val="0"/>
          <w:numId w:val="3"/>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 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8A">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Promoción Vertical del personal que aspira a ocupar una plaza con funciones de Supervisión, el SISAP plantea la aplicación del Instrumento de conocimientos y aptitudes docentes, en conjunto con la Encuesta de Percepción de pares, alumnos y madres, padres o tutores sobre el Trabajo Directivo y aportaciones al Colectivo Docente y el Cuestionario de Habilidades Directivas.</w:t>
      </w:r>
    </w:p>
    <w:p w:rsidR="00000000" w:rsidDel="00000000" w:rsidP="00000000" w:rsidRDefault="00000000" w:rsidRPr="00000000" w14:paraId="0000008B">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8D">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8E">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del Instrumento de valoración de conocimientos y aptitudes docentes aplicado como parte del proceso de selección para la Promoción Vertical a funciones de Dirección en Educación Primaria, se toma como referencia el Perfil profesional expuesto en el </w:t>
      </w:r>
      <w:r w:rsidDel="00000000" w:rsidR="00000000" w:rsidRPr="00000000">
        <w:rPr>
          <w:rFonts w:ascii="Arial" w:cs="Arial" w:eastAsia="Arial" w:hAnsi="Arial"/>
          <w:i w:val="1"/>
          <w:sz w:val="24"/>
          <w:szCs w:val="24"/>
          <w:rtl w:val="0"/>
        </w:rPr>
        <w:t xml:space="preserve">Marco para la excelencia en la enseñanza y la gestión escolar en Educación Básica </w:t>
      </w:r>
      <w:r w:rsidDel="00000000" w:rsidR="00000000" w:rsidRPr="00000000">
        <w:rPr>
          <w:rFonts w:ascii="Arial" w:cs="Arial" w:eastAsia="Arial" w:hAnsi="Arial"/>
          <w:sz w:val="24"/>
          <w:szCs w:val="24"/>
          <w:rtl w:val="0"/>
        </w:rPr>
        <w:t xml:space="preserve">(SEP, 2019b) y considera la medición de los siguientes dominios, criterios e indicadores:</w:t>
      </w:r>
    </w:p>
    <w:p w:rsidR="00000000" w:rsidDel="00000000" w:rsidP="00000000" w:rsidRDefault="00000000" w:rsidRPr="00000000" w14:paraId="0000008F">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Dominio I.  Asume su práctica y desarrollo profesional con apego a los principios filosóficos, éticos y legales de la Educación Mexicana.</w:t>
      </w:r>
    </w:p>
    <w:p w:rsidR="00000000" w:rsidDel="00000000" w:rsidP="00000000" w:rsidRDefault="00000000" w:rsidRPr="00000000" w14:paraId="00000090">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1.1.  Asume en el ejercicio de su función directiva que la educación es un derecho fundamental de niñas, niños y adolescentes para su desarrollo integral y bienestar, a la vez que es un medio para la transformación social del país.</w:t>
      </w:r>
    </w:p>
    <w:p w:rsidR="00000000" w:rsidDel="00000000" w:rsidP="00000000" w:rsidRDefault="00000000" w:rsidRPr="00000000" w14:paraId="00000091">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1.2. Impulsa que toda la comunidad escolar establezca relaciones interpersonales armónicas y pacíficas centradas en la dignidad de las personas y el respeto a los derechos humanos.</w:t>
      </w:r>
    </w:p>
    <w:p w:rsidR="00000000" w:rsidDel="00000000" w:rsidP="00000000" w:rsidRDefault="00000000" w:rsidRPr="00000000" w14:paraId="00000092">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1.3. Asume su responsabilidad para participar en procesos de formación continua y superación profesional para fortalecer su práctica y contribuir a la transformación y mejora de la escuela.</w:t>
      </w:r>
    </w:p>
    <w:p w:rsidR="00000000" w:rsidDel="00000000" w:rsidP="00000000" w:rsidRDefault="00000000" w:rsidRPr="00000000" w14:paraId="00000093">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Dominio II. Reconoce la importancia de su función para construir de manera colectiva una cultura escolar centrada en la equidad, la inclusión, la interculturalidad y la excelencia.</w:t>
      </w:r>
    </w:p>
    <w:p w:rsidR="00000000" w:rsidDel="00000000" w:rsidP="00000000" w:rsidRDefault="00000000" w:rsidRPr="00000000" w14:paraId="00000094">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2.1. Conoce la cultura escolar del plantel educativo y las características sociales, culturales y lingüísticas de la comunidad en la que se ubica la escuela.</w:t>
      </w:r>
    </w:p>
    <w:p w:rsidR="00000000" w:rsidDel="00000000" w:rsidP="00000000" w:rsidRDefault="00000000" w:rsidRPr="00000000" w14:paraId="00000095">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2.2. Reconoce las prácticas de enseñanza y de gestión escolar que favorecen el aprendizaje de todas las niñas, niños y adolescentes.</w:t>
      </w:r>
    </w:p>
    <w:p w:rsidR="00000000" w:rsidDel="00000000" w:rsidP="00000000" w:rsidRDefault="00000000" w:rsidRPr="00000000" w14:paraId="00000096">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2.3. Impulsa la participación de toda la comunidad escolar para garantizar la formación integral de los alumnos en un marco de equidad, inclusión e interculturalidad.</w:t>
      </w:r>
    </w:p>
    <w:p w:rsidR="00000000" w:rsidDel="00000000" w:rsidP="00000000" w:rsidRDefault="00000000" w:rsidRPr="00000000" w14:paraId="00000097">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Dominio III. Organiza el funcionamiento de la escuela como un espacio para la formación integral de niñas, niños y adolescentes.</w:t>
      </w:r>
    </w:p>
    <w:p w:rsidR="00000000" w:rsidDel="00000000" w:rsidP="00000000" w:rsidRDefault="00000000" w:rsidRPr="00000000" w14:paraId="00000098">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3.1. Dirige la construcción de una perspectiva compartida de mejora de la escuela.</w:t>
      </w:r>
    </w:p>
    <w:p w:rsidR="00000000" w:rsidDel="00000000" w:rsidP="00000000" w:rsidRDefault="00000000" w:rsidRPr="00000000" w14:paraId="00000099">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3.4. Impulsa el desarrollo profesional de las maestras y los maestros para favorecer la transformación y mejora de las prácticas docentes.</w:t>
      </w:r>
    </w:p>
    <w:p w:rsidR="00000000" w:rsidDel="00000000" w:rsidP="00000000" w:rsidRDefault="00000000" w:rsidRPr="00000000" w14:paraId="0000009A">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Dominio IV. Propicia la corresponsabilidad de la escuela con las familias, la comunidad y las autoridades educativas para favorecer la formación integral y el bienestar de los alumnos.</w:t>
      </w:r>
    </w:p>
    <w:p w:rsidR="00000000" w:rsidDel="00000000" w:rsidP="00000000" w:rsidRDefault="00000000" w:rsidRPr="00000000" w14:paraId="0000009B">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4.1. Promueve la participación corresponsable de las familias y la comunidad en la labor educativa de la escuela, con base en el diálogo, el respeto y la confianza.</w:t>
      </w:r>
    </w:p>
    <w:p w:rsidR="00000000" w:rsidDel="00000000" w:rsidP="00000000" w:rsidRDefault="00000000" w:rsidRPr="00000000" w14:paraId="0000009C">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4.2. Propicia que la escuela promueva y preserve los rasgos culturales, lingüísticos y ambientales de la comunidad, en un marco de respeto a los derechos humanos y de la infancia.</w:t>
      </w:r>
    </w:p>
    <w:p w:rsidR="00000000" w:rsidDel="00000000" w:rsidP="00000000" w:rsidRDefault="00000000" w:rsidRPr="00000000" w14:paraId="0000009D">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4.3. Gestiona con las familias, la comunidad, la supervisión e instituciones, apoyos que favorecen el bienestar y desarrollo integral de los alumnos.</w:t>
      </w:r>
    </w:p>
    <w:p w:rsidR="00000000" w:rsidDel="00000000" w:rsidP="00000000" w:rsidRDefault="00000000" w:rsidRPr="00000000" w14:paraId="0000009E">
      <w:pPr>
        <w:spacing w:line="360"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3">
      <w:pPr>
        <w:spacing w:line="276" w:lineRule="auto"/>
        <w:ind w:left="0" w:right="138.54330708661507"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Fonts w:ascii="Arial" w:cs="Arial" w:eastAsia="Arial" w:hAnsi="Arial"/>
          <w:sz w:val="30"/>
          <w:szCs w:val="30"/>
          <w:rtl w:val="0"/>
        </w:rPr>
        <w:t xml:space="preserve">(2 cuartillas)</w:t>
      </w:r>
    </w:p>
    <w:p w:rsidR="00000000" w:rsidDel="00000000" w:rsidP="00000000" w:rsidRDefault="00000000" w:rsidRPr="00000000" w14:paraId="000000A4">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000000" w:rsidDel="00000000" w:rsidP="00000000" w:rsidRDefault="00000000" w:rsidRPr="00000000" w14:paraId="000000A5">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rsidR="00000000" w:rsidDel="00000000" w:rsidP="00000000" w:rsidRDefault="00000000" w:rsidRPr="00000000" w14:paraId="000000A6">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dominios propuestos en los perfiles profesionales empatan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rsidR="00000000" w:rsidDel="00000000" w:rsidP="00000000" w:rsidRDefault="00000000" w:rsidRPr="00000000" w14:paraId="000000A7">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rsidR="00000000" w:rsidDel="00000000" w:rsidP="00000000" w:rsidRDefault="00000000" w:rsidRPr="00000000" w14:paraId="000000A8">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sidDel="00000000" w:rsidR="00000000" w:rsidRPr="00000000">
        <w:rPr>
          <w:rFonts w:ascii="Arial" w:cs="Arial" w:eastAsia="Arial" w:hAnsi="Arial"/>
          <w:color w:val="222222"/>
          <w:sz w:val="24"/>
          <w:szCs w:val="24"/>
          <w:rtl w:val="0"/>
        </w:rPr>
        <w:t xml:space="preserve">Montero, Monfils, Wang, Yen, Julian &amp; Moody, 2003; </w:t>
      </w:r>
      <w:r w:rsidDel="00000000" w:rsidR="00000000" w:rsidRPr="00000000">
        <w:rPr>
          <w:rFonts w:ascii="Arial" w:cs="Arial" w:eastAsia="Arial" w:hAnsi="Arial"/>
          <w:sz w:val="24"/>
          <w:szCs w:val="24"/>
          <w:rtl w:val="0"/>
        </w:rPr>
        <w:t xml:space="preserve">Jang, 2009; </w:t>
      </w:r>
      <w:r w:rsidDel="00000000" w:rsidR="00000000" w:rsidRPr="00000000">
        <w:rPr>
          <w:rFonts w:ascii="Arial" w:cs="Arial" w:eastAsia="Arial" w:hAnsi="Arial"/>
          <w:color w:val="222222"/>
          <w:sz w:val="24"/>
          <w:szCs w:val="24"/>
          <w:rtl w:val="0"/>
        </w:rPr>
        <w:t xml:space="preserve">Lee &amp; Sawaki, 2009; Ketterlin-Geller &amp; Tovanoff, 2009; Li, 2011; Li, Hunter &amp; Lei, 2016; Ravand, 2016)</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9">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habilidades a responder por los aspirantes a obtener una Promoción Vertical a funciones directivas en educación primaria, incorpora un módulo general que captura los elementos que se consideran centrales y comunes al ejercicio de la práctica directiva, tales como la procuración de los aspectos éticos y filosóficos relacionados con su práctica (Cullen, 2004; Filloux, 2008; Navarro, 2010; Ibáñez, 2013), la promoción de un ambiente de colaboración y participación en el colectivo escolar (Enguita, 1995; Loughlin &amp; Suina, 1997; Del Rey, Ruiz &amp; Feria, 2009; Fierro, García &amp; Fortoul, Martínez, Macouzet &amp; Jiménez, 2013), el fomento de un ambiente de aprendizaje equitativo e incluyente que considere las características de todos los estudiantes (Echeita &amp; Sandoval, 2002; Blanco, 2006; Fernández, 2013). </w:t>
      </w:r>
    </w:p>
    <w:p w:rsidR="00000000" w:rsidDel="00000000" w:rsidP="00000000" w:rsidRDefault="00000000" w:rsidRPr="00000000" w14:paraId="000000AA">
      <w:pPr>
        <w:widowControl w:val="0"/>
        <w:spacing w:line="360" w:lineRule="auto"/>
        <w:ind w:right="138.54330708661507"/>
        <w:jc w:val="both"/>
        <w:rPr>
          <w:rFonts w:ascii="Arial" w:cs="Arial" w:eastAsia="Arial" w:hAnsi="Arial"/>
          <w:sz w:val="30"/>
          <w:szCs w:val="30"/>
        </w:rPr>
      </w:pPr>
      <w:r w:rsidDel="00000000" w:rsidR="00000000" w:rsidRPr="00000000">
        <w:rPr>
          <w:rFonts w:ascii="Arial" w:cs="Arial" w:eastAsia="Arial" w:hAnsi="Arial"/>
          <w:sz w:val="24"/>
          <w:szCs w:val="24"/>
          <w:rtl w:val="0"/>
        </w:rPr>
        <w:t xml:space="preserve">El instrumento incorpora también un módulo específico para valorar las habilidades y conocimientos que se relacionan de manera particular con el ejercicio de la función directiva en educación primaria,</w:t>
      </w:r>
      <w:r w:rsidDel="00000000" w:rsidR="00000000" w:rsidRPr="00000000">
        <w:rPr>
          <w:rFonts w:ascii="Arial" w:cs="Arial" w:eastAsia="Arial" w:hAnsi="Arial"/>
          <w:sz w:val="30"/>
          <w:szCs w:val="30"/>
          <w:rtl w:val="0"/>
        </w:rPr>
        <w:t xml:space="preserve"> </w:t>
      </w:r>
      <w:r w:rsidDel="00000000" w:rsidR="00000000" w:rsidRPr="00000000">
        <w:rPr>
          <w:rFonts w:ascii="Arial" w:cs="Arial" w:eastAsia="Arial" w:hAnsi="Arial"/>
          <w:sz w:val="24"/>
          <w:szCs w:val="24"/>
          <w:rtl w:val="0"/>
        </w:rPr>
        <w:t xml:space="preserve">que requiere de los aspirantes valorados el estar familiarizado con las necesidades de desarrollo social y afectivo de los estudiantes (Torres &amp; Antonio, 2001; Peralta &amp; Sánchez, 2003; García, Sureda &amp; Monjas, 2010; Agulló, Filella, Soldevila &amp; Ribes, 2011) , el promover la corresponsabilidad de las madres, padres o tutores (Valdés, Martín &amp; Sánchez, 2009) y fomentar en todo momento un entorno de aprendizaje colaborativo, equitativo donde se fomente la incorporación de estrategias didácticas variadas (Wass, 1992; Bosco, 2008) y un alto grado de sensibilidad y flexibilidad en el manejo de los conocimientos y contenidos que se posicionan al centro del proceso de enseñanza-aprendizaje, (Santisteban, 2010; Guttiérrez &amp; Pérez, 2012)</w:t>
      </w:r>
      <w:r w:rsidDel="00000000" w:rsidR="00000000" w:rsidRPr="00000000">
        <w:rPr>
          <w:rtl w:val="0"/>
        </w:rPr>
      </w:r>
    </w:p>
    <w:p w:rsidR="00000000" w:rsidDel="00000000" w:rsidP="00000000" w:rsidRDefault="00000000" w:rsidRPr="00000000" w14:paraId="000000AB">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C">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D">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E">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F">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0">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1">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2">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3">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4">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5">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6">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7">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8">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9">
      <w:pPr>
        <w:spacing w:line="276" w:lineRule="auto"/>
        <w:ind w:right="138.54330708661507"/>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BA">
      <w:pPr>
        <w:spacing w:line="276" w:lineRule="auto"/>
        <w:ind w:right="138.54330708661507"/>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B">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Abreu, O. L. L., Muñoz, J. J. G., Monter, I. B., &amp; Cobas Vilches, M. E. (2015). La mejora continua: objetivo determinante para alcanzar la excelencia en instituciones de educación superior. </w:t>
      </w:r>
      <w:r w:rsidDel="00000000" w:rsidR="00000000" w:rsidRPr="00000000">
        <w:rPr>
          <w:rFonts w:ascii="Arial" w:cs="Arial" w:eastAsia="Arial" w:hAnsi="Arial"/>
          <w:i w:val="1"/>
          <w:color w:val="222222"/>
          <w:sz w:val="24"/>
          <w:szCs w:val="24"/>
          <w:rtl w:val="0"/>
        </w:rPr>
        <w:t xml:space="preserve">Revista Educación Médica del Centro</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i w:val="1"/>
          <w:color w:val="222222"/>
          <w:sz w:val="24"/>
          <w:szCs w:val="24"/>
          <w:rtl w:val="0"/>
        </w:rPr>
        <w:t xml:space="preserve">7</w:t>
      </w:r>
      <w:r w:rsidDel="00000000" w:rsidR="00000000" w:rsidRPr="00000000">
        <w:rPr>
          <w:rFonts w:ascii="Arial" w:cs="Arial" w:eastAsia="Arial" w:hAnsi="Arial"/>
          <w:color w:val="222222"/>
          <w:sz w:val="24"/>
          <w:szCs w:val="24"/>
          <w:rtl w:val="0"/>
        </w:rPr>
        <w:t xml:space="preserve">(4), 196-215.</w:t>
      </w:r>
    </w:p>
    <w:p w:rsidR="00000000" w:rsidDel="00000000" w:rsidP="00000000" w:rsidRDefault="00000000" w:rsidRPr="00000000" w14:paraId="000000BC">
      <w:pPr>
        <w:numPr>
          <w:ilvl w:val="0"/>
          <w:numId w:val="2"/>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Agulló Morera, M., Filella Guiu, G., Soldevila Benet, A., &amp; Ribes Castells, R. (2011). Evaluación de la educación emocional en el ciclo medio de Educación Primaria.</w:t>
      </w:r>
      <w:r w:rsidDel="00000000" w:rsidR="00000000" w:rsidRPr="00000000">
        <w:rPr>
          <w:rtl w:val="0"/>
        </w:rPr>
      </w:r>
    </w:p>
    <w:p w:rsidR="00000000" w:rsidDel="00000000" w:rsidP="00000000" w:rsidRDefault="00000000" w:rsidRPr="00000000" w14:paraId="000000BD">
      <w:pPr>
        <w:numPr>
          <w:ilvl w:val="0"/>
          <w:numId w:val="2"/>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Blanco, R. (2006). La equidad y la inclusión social: uno de los desafíos de la educación y la escuela hoy. </w:t>
      </w:r>
      <w:r w:rsidDel="00000000" w:rsidR="00000000" w:rsidRPr="00000000">
        <w:rPr>
          <w:rFonts w:ascii="Arial" w:cs="Arial" w:eastAsia="Arial" w:hAnsi="Arial"/>
          <w:i w:val="1"/>
          <w:color w:val="222222"/>
          <w:sz w:val="24"/>
          <w:szCs w:val="24"/>
          <w:highlight w:val="white"/>
          <w:rtl w:val="0"/>
        </w:rPr>
        <w:t xml:space="preserve">REICE. Revista Iberoamericana sobre Calidad, Eficacia y Cambio en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4</w:t>
      </w:r>
      <w:r w:rsidDel="00000000" w:rsidR="00000000" w:rsidRPr="00000000">
        <w:rPr>
          <w:rFonts w:ascii="Arial" w:cs="Arial" w:eastAsia="Arial" w:hAnsi="Arial"/>
          <w:color w:val="222222"/>
          <w:sz w:val="24"/>
          <w:szCs w:val="24"/>
          <w:highlight w:val="white"/>
          <w:rtl w:val="0"/>
        </w:rPr>
        <w:t xml:space="preserve">(3), 1-15.</w:t>
      </w:r>
    </w:p>
    <w:p w:rsidR="00000000" w:rsidDel="00000000" w:rsidP="00000000" w:rsidRDefault="00000000" w:rsidRPr="00000000" w14:paraId="000000BE">
      <w:pPr>
        <w:numPr>
          <w:ilvl w:val="0"/>
          <w:numId w:val="2"/>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Bosco, E. B. (2008). Factores escolares asociados a los aprendizajes en la educación primaria mexicana: un análisis multinivel. </w:t>
      </w:r>
      <w:r w:rsidDel="00000000" w:rsidR="00000000" w:rsidRPr="00000000">
        <w:rPr>
          <w:rFonts w:ascii="Arial" w:cs="Arial" w:eastAsia="Arial" w:hAnsi="Arial"/>
          <w:i w:val="1"/>
          <w:color w:val="222222"/>
          <w:sz w:val="24"/>
          <w:szCs w:val="24"/>
          <w:highlight w:val="white"/>
          <w:rtl w:val="0"/>
        </w:rPr>
        <w:t xml:space="preserve">REICE: Revista Iberoamericana sobre Calidad, Eficacia y Cambio en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6</w:t>
      </w:r>
      <w:r w:rsidDel="00000000" w:rsidR="00000000" w:rsidRPr="00000000">
        <w:rPr>
          <w:rFonts w:ascii="Arial" w:cs="Arial" w:eastAsia="Arial" w:hAnsi="Arial"/>
          <w:color w:val="222222"/>
          <w:sz w:val="24"/>
          <w:szCs w:val="24"/>
          <w:highlight w:val="white"/>
          <w:rtl w:val="0"/>
        </w:rPr>
        <w:t xml:space="preserve">(1), 58-84.</w:t>
      </w:r>
    </w:p>
    <w:p w:rsidR="00000000" w:rsidDel="00000000" w:rsidP="00000000" w:rsidRDefault="00000000" w:rsidRPr="00000000" w14:paraId="000000BF">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Cohen, Y. (2019). The Handbook of Cognition and Assessment; Frameworks, Methodologies, and Applications.</w:t>
      </w:r>
    </w:p>
    <w:p w:rsidR="00000000" w:rsidDel="00000000" w:rsidP="00000000" w:rsidRDefault="00000000" w:rsidRPr="00000000" w14:paraId="000000C0">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Coronas, T. T. (2003). ¿ La mejor estrategia docente? La gestión del conocimiento. </w:t>
      </w:r>
      <w:r w:rsidDel="00000000" w:rsidR="00000000" w:rsidRPr="00000000">
        <w:rPr>
          <w:rFonts w:ascii="Arial" w:cs="Arial" w:eastAsia="Arial" w:hAnsi="Arial"/>
          <w:i w:val="1"/>
          <w:color w:val="222222"/>
          <w:sz w:val="24"/>
          <w:szCs w:val="24"/>
          <w:highlight w:val="white"/>
          <w:rtl w:val="0"/>
        </w:rPr>
        <w:t xml:space="preserve">Educar</w:t>
      </w:r>
      <w:r w:rsidDel="00000000" w:rsidR="00000000" w:rsidRPr="00000000">
        <w:rPr>
          <w:rFonts w:ascii="Arial" w:cs="Arial" w:eastAsia="Arial" w:hAnsi="Arial"/>
          <w:color w:val="222222"/>
          <w:sz w:val="24"/>
          <w:szCs w:val="24"/>
          <w:highlight w:val="white"/>
          <w:rtl w:val="0"/>
        </w:rPr>
        <w:t xml:space="preserve">, (32), 9-24.</w:t>
      </w:r>
    </w:p>
    <w:p w:rsidR="00000000" w:rsidDel="00000000" w:rsidP="00000000" w:rsidRDefault="00000000" w:rsidRPr="00000000" w14:paraId="000000C1">
      <w:pPr>
        <w:numPr>
          <w:ilvl w:val="0"/>
          <w:numId w:val="2"/>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Crisol-Moya, E., &amp; Romero López, M. (2014). Práctica docente versus ética docente. Hacia la mejora de la práctica docente a partir de la ética profesional.</w:t>
      </w:r>
    </w:p>
    <w:p w:rsidR="00000000" w:rsidDel="00000000" w:rsidP="00000000" w:rsidRDefault="00000000" w:rsidRPr="00000000" w14:paraId="000000C2">
      <w:pPr>
        <w:numPr>
          <w:ilvl w:val="0"/>
          <w:numId w:val="2"/>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Del Rey, R., Ruiz, R. O., &amp; Feria, I. (2009). Convivencia escolar: fortaleza de la comunidad educativa y protección ante la conflictividad escolar. </w:t>
      </w:r>
      <w:r w:rsidDel="00000000" w:rsidR="00000000" w:rsidRPr="00000000">
        <w:rPr>
          <w:rFonts w:ascii="Arial" w:cs="Arial" w:eastAsia="Arial" w:hAnsi="Arial"/>
          <w:i w:val="1"/>
          <w:color w:val="222222"/>
          <w:sz w:val="24"/>
          <w:szCs w:val="24"/>
          <w:highlight w:val="white"/>
          <w:rtl w:val="0"/>
        </w:rPr>
        <w:t xml:space="preserve">Revista interuniversitaria de formación del profesorado</w:t>
      </w:r>
      <w:r w:rsidDel="00000000" w:rsidR="00000000" w:rsidRPr="00000000">
        <w:rPr>
          <w:rFonts w:ascii="Arial" w:cs="Arial" w:eastAsia="Arial" w:hAnsi="Arial"/>
          <w:color w:val="222222"/>
          <w:sz w:val="24"/>
          <w:szCs w:val="24"/>
          <w:highlight w:val="white"/>
          <w:rtl w:val="0"/>
        </w:rPr>
        <w:t xml:space="preserve">, (66), 159-180.</w:t>
      </w:r>
    </w:p>
    <w:p w:rsidR="00000000" w:rsidDel="00000000" w:rsidP="00000000" w:rsidRDefault="00000000" w:rsidRPr="00000000" w14:paraId="000000C3">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C4">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C5">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Díaz, F., &amp; Hernández, G. (2002). </w:t>
      </w:r>
      <w:r w:rsidDel="00000000" w:rsidR="00000000" w:rsidRPr="00000000">
        <w:rPr>
          <w:rFonts w:ascii="Arial" w:cs="Arial" w:eastAsia="Arial" w:hAnsi="Arial"/>
          <w:i w:val="1"/>
          <w:color w:val="222222"/>
          <w:sz w:val="24"/>
          <w:szCs w:val="24"/>
          <w:highlight w:val="white"/>
          <w:rtl w:val="0"/>
        </w:rPr>
        <w:t xml:space="preserve">Estrategias docentes para un aprendizaje significativo</w:t>
      </w:r>
      <w:r w:rsidDel="00000000" w:rsidR="00000000" w:rsidRPr="00000000">
        <w:rPr>
          <w:rFonts w:ascii="Arial" w:cs="Arial" w:eastAsia="Arial" w:hAnsi="Arial"/>
          <w:color w:val="222222"/>
          <w:sz w:val="24"/>
          <w:szCs w:val="24"/>
          <w:highlight w:val="white"/>
          <w:rtl w:val="0"/>
        </w:rPr>
        <w:t xml:space="preserve"> (Vol. 2). México: McGraw-Hill.</w:t>
      </w:r>
      <w:r w:rsidDel="00000000" w:rsidR="00000000" w:rsidRPr="00000000">
        <w:rPr>
          <w:rtl w:val="0"/>
        </w:rPr>
      </w:r>
    </w:p>
    <w:p w:rsidR="00000000" w:rsidDel="00000000" w:rsidP="00000000" w:rsidRDefault="00000000" w:rsidRPr="00000000" w14:paraId="000000C6">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Echeita Sarrionandía, G., &amp; Sandoval Mena, M. (2002). Educación inclusiva o educación sin exclusiones. </w:t>
      </w:r>
      <w:r w:rsidDel="00000000" w:rsidR="00000000" w:rsidRPr="00000000">
        <w:rPr>
          <w:rFonts w:ascii="Arial" w:cs="Arial" w:eastAsia="Arial" w:hAnsi="Arial"/>
          <w:i w:val="1"/>
          <w:color w:val="222222"/>
          <w:sz w:val="24"/>
          <w:szCs w:val="24"/>
          <w:highlight w:val="white"/>
          <w:rtl w:val="0"/>
        </w:rPr>
        <w:t xml:space="preserve">Revista de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327</w:t>
      </w:r>
      <w:r w:rsidDel="00000000" w:rsidR="00000000" w:rsidRPr="00000000">
        <w:rPr>
          <w:rFonts w:ascii="Arial" w:cs="Arial" w:eastAsia="Arial" w:hAnsi="Arial"/>
          <w:color w:val="222222"/>
          <w:sz w:val="24"/>
          <w:szCs w:val="24"/>
          <w:highlight w:val="white"/>
          <w:rtl w:val="0"/>
        </w:rPr>
        <w:t xml:space="preserve">, 31-48.</w:t>
      </w:r>
      <w:r w:rsidDel="00000000" w:rsidR="00000000" w:rsidRPr="00000000">
        <w:rPr>
          <w:rtl w:val="0"/>
        </w:rPr>
      </w:r>
    </w:p>
    <w:p w:rsidR="00000000" w:rsidDel="00000000" w:rsidP="00000000" w:rsidRDefault="00000000" w:rsidRPr="00000000" w14:paraId="000000C7">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Enguita, M. F. (1995). La profesión docente y la comunidad escolar. </w:t>
      </w:r>
      <w:r w:rsidDel="00000000" w:rsidR="00000000" w:rsidRPr="00000000">
        <w:rPr>
          <w:rFonts w:ascii="Arial" w:cs="Arial" w:eastAsia="Arial" w:hAnsi="Arial"/>
          <w:i w:val="1"/>
          <w:color w:val="222222"/>
          <w:sz w:val="24"/>
          <w:szCs w:val="24"/>
          <w:highlight w:val="white"/>
          <w:rtl w:val="0"/>
        </w:rPr>
        <w:t xml:space="preserve">Morata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C8">
      <w:pPr>
        <w:numPr>
          <w:ilvl w:val="0"/>
          <w:numId w:val="2"/>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Fernández Batanero, J. M. (2013). Competencias docentes y educación inclusiva. </w:t>
      </w:r>
      <w:r w:rsidDel="00000000" w:rsidR="00000000" w:rsidRPr="00000000">
        <w:rPr>
          <w:rFonts w:ascii="Arial" w:cs="Arial" w:eastAsia="Arial" w:hAnsi="Arial"/>
          <w:i w:val="1"/>
          <w:color w:val="222222"/>
          <w:sz w:val="24"/>
          <w:szCs w:val="24"/>
          <w:highlight w:val="white"/>
          <w:rtl w:val="0"/>
        </w:rPr>
        <w:t xml:space="preserve">Revista electrónica de investigación educativa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15</w:t>
      </w:r>
      <w:r w:rsidDel="00000000" w:rsidR="00000000" w:rsidRPr="00000000">
        <w:rPr>
          <w:rFonts w:ascii="Arial" w:cs="Arial" w:eastAsia="Arial" w:hAnsi="Arial"/>
          <w:color w:val="222222"/>
          <w:sz w:val="24"/>
          <w:szCs w:val="24"/>
          <w:highlight w:val="white"/>
          <w:rtl w:val="0"/>
        </w:rPr>
        <w:t xml:space="preserve">(2), 82-99.</w:t>
      </w:r>
    </w:p>
    <w:p w:rsidR="00000000" w:rsidDel="00000000" w:rsidP="00000000" w:rsidRDefault="00000000" w:rsidRPr="00000000" w14:paraId="000000C9">
      <w:pPr>
        <w:numPr>
          <w:ilvl w:val="0"/>
          <w:numId w:val="2"/>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sidDel="00000000" w:rsidR="00000000" w:rsidRPr="00000000">
        <w:rPr>
          <w:rFonts w:ascii="Arial" w:cs="Arial" w:eastAsia="Arial" w:hAnsi="Arial"/>
          <w:i w:val="1"/>
          <w:color w:val="222222"/>
          <w:sz w:val="24"/>
          <w:szCs w:val="24"/>
          <w:highlight w:val="white"/>
          <w:rtl w:val="0"/>
        </w:rPr>
        <w:t xml:space="preserve">RIEE. Revista Iberoamericana de Evaluación Educativa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CA">
      <w:pPr>
        <w:numPr>
          <w:ilvl w:val="0"/>
          <w:numId w:val="2"/>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Fullan, M. (2007). Educational reform as continuous improvement. </w:t>
      </w:r>
      <w:r w:rsidDel="00000000" w:rsidR="00000000" w:rsidRPr="00000000">
        <w:rPr>
          <w:rFonts w:ascii="Arial" w:cs="Arial" w:eastAsia="Arial" w:hAnsi="Arial"/>
          <w:i w:val="1"/>
          <w:color w:val="222222"/>
          <w:sz w:val="24"/>
          <w:szCs w:val="24"/>
          <w:rtl w:val="0"/>
        </w:rPr>
        <w:t xml:space="preserve">The keys to effective schools: Educational reform as continuous improvement</w:t>
      </w:r>
      <w:r w:rsidDel="00000000" w:rsidR="00000000" w:rsidRPr="00000000">
        <w:rPr>
          <w:rFonts w:ascii="Arial" w:cs="Arial" w:eastAsia="Arial" w:hAnsi="Arial"/>
          <w:color w:val="222222"/>
          <w:sz w:val="24"/>
          <w:szCs w:val="24"/>
          <w:rtl w:val="0"/>
        </w:rPr>
        <w:t xml:space="preserve">, 1-12.</w:t>
      </w:r>
    </w:p>
    <w:p w:rsidR="00000000" w:rsidDel="00000000" w:rsidP="00000000" w:rsidRDefault="00000000" w:rsidRPr="00000000" w14:paraId="000000CB">
      <w:pPr>
        <w:numPr>
          <w:ilvl w:val="0"/>
          <w:numId w:val="2"/>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García Bacete, F. J., Sureda García, I., &amp; Monjas Casares, I. (2010). El rechazo entre iguales en la educación primaria: Una panorámica general. Anales de psicología.</w:t>
      </w:r>
    </w:p>
    <w:p w:rsidR="00000000" w:rsidDel="00000000" w:rsidP="00000000" w:rsidRDefault="00000000" w:rsidRPr="00000000" w14:paraId="000000CC">
      <w:pPr>
        <w:numPr>
          <w:ilvl w:val="0"/>
          <w:numId w:val="2"/>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Gutiérrez-Braojos, C., &amp; Pérez, H. S. (2012). Estrategias de comprensión lectora: enseñanza y evaluación en educación primaria. </w:t>
      </w:r>
      <w:r w:rsidDel="00000000" w:rsidR="00000000" w:rsidRPr="00000000">
        <w:rPr>
          <w:rFonts w:ascii="Arial" w:cs="Arial" w:eastAsia="Arial" w:hAnsi="Arial"/>
          <w:i w:val="1"/>
          <w:color w:val="222222"/>
          <w:sz w:val="24"/>
          <w:szCs w:val="24"/>
          <w:highlight w:val="white"/>
          <w:rtl w:val="0"/>
        </w:rPr>
        <w:t xml:space="preserve">Profesorado. Revista de curriculum y formación de profesorado</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16</w:t>
      </w:r>
      <w:r w:rsidDel="00000000" w:rsidR="00000000" w:rsidRPr="00000000">
        <w:rPr>
          <w:rFonts w:ascii="Arial" w:cs="Arial" w:eastAsia="Arial" w:hAnsi="Arial"/>
          <w:color w:val="222222"/>
          <w:sz w:val="24"/>
          <w:szCs w:val="24"/>
          <w:highlight w:val="white"/>
          <w:rtl w:val="0"/>
        </w:rPr>
        <w:t xml:space="preserve">(1), 183-202.</w:t>
      </w:r>
      <w:r w:rsidDel="00000000" w:rsidR="00000000" w:rsidRPr="00000000">
        <w:rPr>
          <w:rtl w:val="0"/>
        </w:rPr>
      </w:r>
    </w:p>
    <w:p w:rsidR="00000000" w:rsidDel="00000000" w:rsidP="00000000" w:rsidRDefault="00000000" w:rsidRPr="00000000" w14:paraId="000000CD">
      <w:pPr>
        <w:numPr>
          <w:ilvl w:val="0"/>
          <w:numId w:val="2"/>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Hernández, N. C., &amp; Sanabria, G. T. (2012). La organización inteligente en un ambiente de aprendizaje: una exploración de sus aspectos generales. </w:t>
      </w:r>
      <w:r w:rsidDel="00000000" w:rsidR="00000000" w:rsidRPr="00000000">
        <w:rPr>
          <w:rFonts w:ascii="Arial" w:cs="Arial" w:eastAsia="Arial" w:hAnsi="Arial"/>
          <w:i w:val="1"/>
          <w:color w:val="222222"/>
          <w:sz w:val="24"/>
          <w:szCs w:val="24"/>
          <w:highlight w:val="white"/>
          <w:rtl w:val="0"/>
        </w:rPr>
        <w:t xml:space="preserve">AD-minister</w:t>
      </w:r>
      <w:r w:rsidDel="00000000" w:rsidR="00000000" w:rsidRPr="00000000">
        <w:rPr>
          <w:rFonts w:ascii="Arial" w:cs="Arial" w:eastAsia="Arial" w:hAnsi="Arial"/>
          <w:color w:val="222222"/>
          <w:sz w:val="24"/>
          <w:szCs w:val="24"/>
          <w:highlight w:val="white"/>
          <w:rtl w:val="0"/>
        </w:rPr>
        <w:t xml:space="preserve">, (21), 101-115.</w:t>
      </w:r>
      <w:r w:rsidDel="00000000" w:rsidR="00000000" w:rsidRPr="00000000">
        <w:rPr>
          <w:rtl w:val="0"/>
        </w:rPr>
      </w:r>
    </w:p>
    <w:p w:rsidR="00000000" w:rsidDel="00000000" w:rsidP="00000000" w:rsidRDefault="00000000" w:rsidRPr="00000000" w14:paraId="000000CE">
      <w:pPr>
        <w:numPr>
          <w:ilvl w:val="0"/>
          <w:numId w:val="2"/>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Ibáñez-Martín, J. A. (2013). Ética docente del siglo XXI: Nuevos desafíos. </w:t>
      </w:r>
      <w:r w:rsidDel="00000000" w:rsidR="00000000" w:rsidRPr="00000000">
        <w:rPr>
          <w:rFonts w:ascii="Arial" w:cs="Arial" w:eastAsia="Arial" w:hAnsi="Arial"/>
          <w:i w:val="1"/>
          <w:color w:val="222222"/>
          <w:sz w:val="24"/>
          <w:szCs w:val="24"/>
          <w:highlight w:val="white"/>
          <w:rtl w:val="0"/>
        </w:rPr>
        <w:t xml:space="preserve">Edetania. Estudios y propuestas socioeducativas</w:t>
      </w:r>
      <w:r w:rsidDel="00000000" w:rsidR="00000000" w:rsidRPr="00000000">
        <w:rPr>
          <w:rFonts w:ascii="Arial" w:cs="Arial" w:eastAsia="Arial" w:hAnsi="Arial"/>
          <w:color w:val="222222"/>
          <w:sz w:val="24"/>
          <w:szCs w:val="24"/>
          <w:highlight w:val="white"/>
          <w:rtl w:val="0"/>
        </w:rPr>
        <w:t xml:space="preserve">, (43), 17-31.</w:t>
      </w:r>
      <w:r w:rsidDel="00000000" w:rsidR="00000000" w:rsidRPr="00000000">
        <w:rPr>
          <w:rtl w:val="0"/>
        </w:rPr>
      </w:r>
    </w:p>
    <w:p w:rsidR="00000000" w:rsidDel="00000000" w:rsidP="00000000" w:rsidRDefault="00000000" w:rsidRPr="00000000" w14:paraId="000000CF">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Jang, E. E. (2009). Cognitive diagnostic assessment of L2 reading comprehension ability: Validity arguments for Fusion Model application to LanguEdge assessment. Language Testing, 26(1), 031-73.</w:t>
      </w:r>
    </w:p>
    <w:p w:rsidR="00000000" w:rsidDel="00000000" w:rsidP="00000000" w:rsidRDefault="00000000" w:rsidRPr="00000000" w14:paraId="000000D0">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Ketterlin-Geller, L. R., &amp; Yovanoff, P. (2009). Diagnostic assessments in mathematics to support instructional decision making. Practical Assessment, Research &amp; Evaluation, 14(16), 1-11.</w:t>
      </w:r>
    </w:p>
    <w:p w:rsidR="00000000" w:rsidDel="00000000" w:rsidP="00000000" w:rsidRDefault="00000000" w:rsidRPr="00000000" w14:paraId="000000D1">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Leighton, J. &amp; Gierl, M. (2007). Defining and evaluating models of cognition used in educational measurement to make inferences about examinees’ thinking processes. Educational Measurement: Issues and Practice, 26(2), 3-16.  </w:t>
      </w:r>
    </w:p>
    <w:p w:rsidR="00000000" w:rsidDel="00000000" w:rsidP="00000000" w:rsidRDefault="00000000" w:rsidRPr="00000000" w14:paraId="000000D2">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Lee, Y. W., &amp; Sawaki, Y. (2009). Application of three cognitive diagnosis models to ESL reading and listening assessments. Language Assessment Quarterly, 6(3), 239-263.</w:t>
      </w:r>
    </w:p>
    <w:p w:rsidR="00000000" w:rsidDel="00000000" w:rsidP="00000000" w:rsidRDefault="00000000" w:rsidRPr="00000000" w14:paraId="000000D3">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(2011). A cognitive diagnostic analysis of the MELAB reading test. Spaan Fellow, 9, 17-46.</w:t>
      </w:r>
    </w:p>
    <w:p w:rsidR="00000000" w:rsidDel="00000000" w:rsidP="00000000" w:rsidRDefault="00000000" w:rsidRPr="00000000" w14:paraId="000000D4">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Hunter, C. V., &amp; Lei, P. W. (2016). The selection of cognitive diagnostic models for a reading comprehension test. Language Testing, 33(3), 391-409.</w:t>
      </w:r>
    </w:p>
    <w:p w:rsidR="00000000" w:rsidDel="00000000" w:rsidP="00000000" w:rsidRDefault="00000000" w:rsidRPr="00000000" w14:paraId="000000D5">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Loughlin, C. E., &amp; Suina, J. H. (1997). </w:t>
      </w:r>
      <w:r w:rsidDel="00000000" w:rsidR="00000000" w:rsidRPr="00000000">
        <w:rPr>
          <w:rFonts w:ascii="Arial" w:cs="Arial" w:eastAsia="Arial" w:hAnsi="Arial"/>
          <w:i w:val="1"/>
          <w:color w:val="222222"/>
          <w:sz w:val="24"/>
          <w:szCs w:val="24"/>
          <w:highlight w:val="white"/>
          <w:rtl w:val="0"/>
        </w:rPr>
        <w:t xml:space="preserve">El ambiente de aprendizaje: diseño y organización</w:t>
      </w:r>
      <w:r w:rsidDel="00000000" w:rsidR="00000000" w:rsidRPr="00000000">
        <w:rPr>
          <w:rFonts w:ascii="Arial" w:cs="Arial" w:eastAsia="Arial" w:hAnsi="Arial"/>
          <w:color w:val="222222"/>
          <w:sz w:val="24"/>
          <w:szCs w:val="24"/>
          <w:highlight w:val="white"/>
          <w:rtl w:val="0"/>
        </w:rPr>
        <w:t xml:space="preserve"> (Vol. 3). Ediciones Morata.</w:t>
      </w:r>
      <w:r w:rsidDel="00000000" w:rsidR="00000000" w:rsidRPr="00000000">
        <w:rPr>
          <w:rtl w:val="0"/>
        </w:rPr>
      </w:r>
    </w:p>
    <w:p w:rsidR="00000000" w:rsidDel="00000000" w:rsidP="00000000" w:rsidRDefault="00000000" w:rsidRPr="00000000" w14:paraId="000000D6">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Montero, D. H., Monfils, L., Wang, J., Yen, W. M., Julian, M. W., &amp; Moody, M. (2003). Investigation of the application of cognitive diagnostic testing to an end-of-course high school examination. In annual meeting of the National Council on Measurement in Education, Chicago, IL.</w:t>
      </w:r>
    </w:p>
    <w:p w:rsidR="00000000" w:rsidDel="00000000" w:rsidP="00000000" w:rsidRDefault="00000000" w:rsidRPr="00000000" w14:paraId="000000D7">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Navarro, E. M. (2010). </w:t>
      </w:r>
      <w:r w:rsidDel="00000000" w:rsidR="00000000" w:rsidRPr="00000000">
        <w:rPr>
          <w:rFonts w:ascii="Arial" w:cs="Arial" w:eastAsia="Arial" w:hAnsi="Arial"/>
          <w:i w:val="1"/>
          <w:color w:val="222222"/>
          <w:sz w:val="24"/>
          <w:szCs w:val="24"/>
          <w:highlight w:val="white"/>
          <w:rtl w:val="0"/>
        </w:rPr>
        <w:t xml:space="preserve">Ética profesional de los profesores</w:t>
      </w:r>
      <w:r w:rsidDel="00000000" w:rsidR="00000000" w:rsidRPr="00000000">
        <w:rPr>
          <w:rFonts w:ascii="Arial" w:cs="Arial" w:eastAsia="Arial" w:hAnsi="Arial"/>
          <w:color w:val="222222"/>
          <w:sz w:val="24"/>
          <w:szCs w:val="24"/>
          <w:highlight w:val="white"/>
          <w:rtl w:val="0"/>
        </w:rPr>
        <w:t xml:space="preserve">. Desclée de Brouwer.</w:t>
      </w:r>
    </w:p>
    <w:p w:rsidR="00000000" w:rsidDel="00000000" w:rsidP="00000000" w:rsidRDefault="00000000" w:rsidRPr="00000000" w14:paraId="000000D8">
      <w:pPr>
        <w:numPr>
          <w:ilvl w:val="0"/>
          <w:numId w:val="2"/>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Peralta Sánchez, F. J., &amp; Sánchez Roda, M. D. (2003). Relaciones entre el autoconcepto y el rendimiento académico, en alumnos de Educación Primaria.</w:t>
      </w:r>
    </w:p>
    <w:p w:rsidR="00000000" w:rsidDel="00000000" w:rsidP="00000000" w:rsidRDefault="00000000" w:rsidRPr="00000000" w14:paraId="000000D9">
      <w:pPr>
        <w:numPr>
          <w:ilvl w:val="0"/>
          <w:numId w:val="2"/>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Picardo, O. Diccionario Enciclopédico de Ciencias de la Educación, San Salvador, Centro de Investigación Educativa/Colegio García Flamenco, 2005.</w:t>
      </w:r>
    </w:p>
    <w:p w:rsidR="00000000" w:rsidDel="00000000" w:rsidP="00000000" w:rsidRDefault="00000000" w:rsidRPr="00000000" w14:paraId="000000DA">
      <w:pPr>
        <w:numPr>
          <w:ilvl w:val="0"/>
          <w:numId w:val="2"/>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Ravand, H. (2016). Application of a cognitive diagnostic model to a high-stakes reading comprehension test. Journal of Psychoeducational Assessment, 34(8), 782-799.</w:t>
      </w:r>
    </w:p>
    <w:p w:rsidR="00000000" w:rsidDel="00000000" w:rsidP="00000000" w:rsidRDefault="00000000" w:rsidRPr="00000000" w14:paraId="000000DB">
      <w:pPr>
        <w:numPr>
          <w:ilvl w:val="0"/>
          <w:numId w:val="2"/>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Santisteban Fernández, A. (2010). La enseñanza y el aprendizaje del tiempo histórico en la educación primaria. </w:t>
      </w:r>
      <w:r w:rsidDel="00000000" w:rsidR="00000000" w:rsidRPr="00000000">
        <w:rPr>
          <w:rFonts w:ascii="Arial" w:cs="Arial" w:eastAsia="Arial" w:hAnsi="Arial"/>
          <w:i w:val="1"/>
          <w:color w:val="222222"/>
          <w:sz w:val="24"/>
          <w:szCs w:val="24"/>
          <w:highlight w:val="white"/>
          <w:rtl w:val="0"/>
        </w:rPr>
        <w:t xml:space="preserve">Cadernos Cedes</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30</w:t>
      </w:r>
      <w:r w:rsidDel="00000000" w:rsidR="00000000" w:rsidRPr="00000000">
        <w:rPr>
          <w:rFonts w:ascii="Arial" w:cs="Arial" w:eastAsia="Arial" w:hAnsi="Arial"/>
          <w:color w:val="222222"/>
          <w:sz w:val="24"/>
          <w:szCs w:val="24"/>
          <w:highlight w:val="white"/>
          <w:rtl w:val="0"/>
        </w:rPr>
        <w:t xml:space="preserve">(82), 281-309.</w:t>
      </w:r>
    </w:p>
    <w:p w:rsidR="00000000" w:rsidDel="00000000" w:rsidP="00000000" w:rsidRDefault="00000000" w:rsidRPr="00000000" w14:paraId="000000DC">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DD">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rsidR="00000000" w:rsidDel="00000000" w:rsidP="00000000" w:rsidRDefault="00000000" w:rsidRPr="00000000" w14:paraId="000000DE">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Torres, L. H., &amp; Antonio, I. B. (2011). Convivencia escolar en Educación Primaria. Las habilidades sociales del alumnado como variable moduladora. </w:t>
      </w:r>
      <w:r w:rsidDel="00000000" w:rsidR="00000000" w:rsidRPr="00000000">
        <w:rPr>
          <w:rFonts w:ascii="Arial" w:cs="Arial" w:eastAsia="Arial" w:hAnsi="Arial"/>
          <w:i w:val="1"/>
          <w:color w:val="222222"/>
          <w:sz w:val="24"/>
          <w:szCs w:val="24"/>
          <w:highlight w:val="white"/>
          <w:rtl w:val="0"/>
        </w:rPr>
        <w:t xml:space="preserve">Dedica. Revista de educação e humanidades</w:t>
      </w:r>
      <w:r w:rsidDel="00000000" w:rsidR="00000000" w:rsidRPr="00000000">
        <w:rPr>
          <w:rFonts w:ascii="Arial" w:cs="Arial" w:eastAsia="Arial" w:hAnsi="Arial"/>
          <w:color w:val="222222"/>
          <w:sz w:val="24"/>
          <w:szCs w:val="24"/>
          <w:highlight w:val="white"/>
          <w:rtl w:val="0"/>
        </w:rPr>
        <w:t xml:space="preserve">, (1), 173-212.</w:t>
      </w:r>
      <w:r w:rsidDel="00000000" w:rsidR="00000000" w:rsidRPr="00000000">
        <w:rPr>
          <w:rtl w:val="0"/>
        </w:rPr>
      </w:r>
    </w:p>
    <w:p w:rsidR="00000000" w:rsidDel="00000000" w:rsidP="00000000" w:rsidRDefault="00000000" w:rsidRPr="00000000" w14:paraId="000000DF">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Valdés Cuervo, Á. A., Martín Pavón, M. J., &amp; Sánchez Escobedo, P. A. (2009). Participación de los padres de alumnos de educación primaria en las actividades académicas de sus hijos. </w:t>
      </w:r>
      <w:r w:rsidDel="00000000" w:rsidR="00000000" w:rsidRPr="00000000">
        <w:rPr>
          <w:rFonts w:ascii="Arial" w:cs="Arial" w:eastAsia="Arial" w:hAnsi="Arial"/>
          <w:i w:val="1"/>
          <w:color w:val="222222"/>
          <w:sz w:val="24"/>
          <w:szCs w:val="24"/>
          <w:highlight w:val="white"/>
          <w:rtl w:val="0"/>
        </w:rPr>
        <w:t xml:space="preserve">Revista electrónica de investigación educativa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11</w:t>
      </w:r>
      <w:r w:rsidDel="00000000" w:rsidR="00000000" w:rsidRPr="00000000">
        <w:rPr>
          <w:rFonts w:ascii="Arial" w:cs="Arial" w:eastAsia="Arial" w:hAnsi="Arial"/>
          <w:color w:val="222222"/>
          <w:sz w:val="24"/>
          <w:szCs w:val="24"/>
          <w:highlight w:val="white"/>
          <w:rtl w:val="0"/>
        </w:rPr>
        <w:t xml:space="preserve">(1), 1-17.</w:t>
      </w:r>
    </w:p>
    <w:p w:rsidR="00000000" w:rsidDel="00000000" w:rsidP="00000000" w:rsidRDefault="00000000" w:rsidRPr="00000000" w14:paraId="000000E0">
      <w:pPr>
        <w:numPr>
          <w:ilvl w:val="0"/>
          <w:numId w:val="2"/>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Wass, S. (1992). </w:t>
      </w:r>
      <w:r w:rsidDel="00000000" w:rsidR="00000000" w:rsidRPr="00000000">
        <w:rPr>
          <w:rFonts w:ascii="Arial" w:cs="Arial" w:eastAsia="Arial" w:hAnsi="Arial"/>
          <w:i w:val="1"/>
          <w:color w:val="222222"/>
          <w:sz w:val="24"/>
          <w:szCs w:val="24"/>
          <w:highlight w:val="white"/>
          <w:rtl w:val="0"/>
        </w:rPr>
        <w:t xml:space="preserve">Salidas escolares y trabajo de campo en la educación primaria</w:t>
      </w:r>
      <w:r w:rsidDel="00000000" w:rsidR="00000000" w:rsidRPr="00000000">
        <w:rPr>
          <w:rFonts w:ascii="Arial" w:cs="Arial" w:eastAsia="Arial" w:hAnsi="Arial"/>
          <w:color w:val="222222"/>
          <w:sz w:val="24"/>
          <w:szCs w:val="24"/>
          <w:highlight w:val="white"/>
          <w:rtl w:val="0"/>
        </w:rPr>
        <w:t xml:space="preserve"> (Vol. 25). Ediciones Morata.</w:t>
      </w:r>
      <w:r w:rsidDel="00000000" w:rsidR="00000000" w:rsidRPr="00000000">
        <w:rPr>
          <w:rtl w:val="0"/>
        </w:rPr>
      </w:r>
    </w:p>
    <w:p w:rsidR="00000000" w:rsidDel="00000000" w:rsidP="00000000" w:rsidRDefault="00000000" w:rsidRPr="00000000" w14:paraId="000000E1">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2">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3">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4">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5">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6">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7">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8">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9">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A">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B">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C">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D">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E">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F">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0">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1">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2">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3">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4">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F5">
      <w:pPr>
        <w:spacing w:line="276" w:lineRule="auto"/>
        <w:ind w:left="0" w:right="138.54330708661507" w:firstLine="0"/>
        <w:rPr>
          <w:rFonts w:ascii="Arial" w:cs="Arial" w:eastAsia="Arial" w:hAnsi="Arial"/>
          <w:b w:val="1"/>
          <w:sz w:val="30"/>
          <w:szCs w:val="30"/>
        </w:rPr>
      </w:pPr>
      <w:r w:rsidDel="00000000" w:rsidR="00000000" w:rsidRPr="00000000">
        <w:rPr>
          <w:rtl w:val="0"/>
        </w:rPr>
      </w:r>
    </w:p>
    <w:sectPr>
      <w:headerReference r:id="rId7" w:type="default"/>
      <w:pgSz w:h="15840" w:w="12240"/>
      <w:pgMar w:bottom="1417" w:top="1417" w:left="850.3937007874017" w:right="896.81102362204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ANMvdMUUcGOcKSqPTb6yKY3llw==">AMUW2mVOBzODFOKpfFflZBLQCXImr+ZpkdDIeft5zLpcnphX+yNd3h6nxXEt+GCn6p9HtjvCvP5MOLqCqkvNLYhQbtz4S6QE2IYg/Nt0pw8iuQTTEBErnh0nYOBHSJPn11zoArKm7a4q0xFdLw18SoMiUwRu73/ladxAI4gAaOSAktxCiU0qMYj1wlusTEvNvItSziSoDnhy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