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AA8" w:rsidRPr="00F37642" w:rsidRDefault="00521AA8" w:rsidP="00521AA8">
      <w:pPr>
        <w:pStyle w:val="ESubtitulo"/>
      </w:pPr>
      <w:r>
        <w:t>Análisis de los resultados</w:t>
      </w:r>
    </w:p>
    <w:p w:rsidR="00521AA8" w:rsidRPr="00F37642" w:rsidRDefault="00521AA8" w:rsidP="00521AA8">
      <w:pPr>
        <w:pStyle w:val="AParrafos"/>
        <w:ind w:firstLine="0"/>
      </w:pPr>
      <w:r w:rsidRPr="00F37642">
        <w:t xml:space="preserve">Para alcanzar los objetivos de investigación se realizó un estudio psicométrico con el fin de obtener evidencias de validez </w:t>
      </w:r>
      <w:bookmarkStart w:id="0" w:name="_GoBack"/>
      <w:bookmarkEnd w:id="0"/>
      <w:r w:rsidRPr="00F37642">
        <w:t xml:space="preserve">de constructo del aspecto de la estructura interna de la </w:t>
      </w:r>
      <w:r w:rsidRPr="00F37642">
        <w:rPr>
          <w:rStyle w:val="AParrafosCar"/>
        </w:rPr>
        <w:t>Escala del Rol de los Estudiantes en el Ciclo de la Violencia Escolar (ERECVE)</w:t>
      </w:r>
      <w:r w:rsidRPr="00F37642">
        <w:t xml:space="preserve">. Para ello se siguieron los </w:t>
      </w:r>
      <w:r w:rsidRPr="00F37642">
        <w:rPr>
          <w:i/>
        </w:rPr>
        <w:t>Estándares para las pruebas educativas y psicológicas</w:t>
      </w:r>
      <w:r w:rsidRPr="00F37642">
        <w:t xml:space="preserve"> de la AERA, APA y NCME (1985 y 1999), así como las recomendaciones de autores reconocidos en el campo de la teoría de la validez de constructo (Messick, 1989b; Kane, 2016; Mislevy, 2009) y de los métodos para el análisis de la estructura interna de las pruebas con base en Modelos de Ecuaciones Estructurales (MEE) (Yela, 1966; Bentler y Weeks, 1980; Long, 1983; Bollen, 1989; Jöreskog y Sörbon, 1989). En especial se decidió aplicar el Análisis Factorial Exploratorio (AFE), el Análisis Factorial Confirmatorio (AFC), así como análisis preliminares de normalidad, linealidad y multicolinealidad de las puntuaciones, y de confiabilidad, discriminación y correlación entre sub-escalas y otras variables.</w:t>
      </w:r>
    </w:p>
    <w:p w:rsidR="00521AA8" w:rsidRPr="00F37642" w:rsidRDefault="00521AA8" w:rsidP="00521AA8">
      <w:pPr>
        <w:pStyle w:val="ESubtitulo"/>
      </w:pPr>
      <w:bookmarkStart w:id="1" w:name="_Toc3470234"/>
      <w:r w:rsidRPr="00F37642">
        <w:t xml:space="preserve">3.2. </w:t>
      </w:r>
      <w:r w:rsidRPr="0032625F">
        <w:t>Instrumento</w:t>
      </w:r>
      <w:bookmarkEnd w:id="1"/>
    </w:p>
    <w:p w:rsidR="00521AA8" w:rsidRPr="00F37642" w:rsidRDefault="00521AA8" w:rsidP="00521AA8">
      <w:pPr>
        <w:pStyle w:val="AParrafos"/>
        <w:ind w:firstLine="0"/>
      </w:pPr>
      <w:r w:rsidRPr="00F37642">
        <w:rPr>
          <w:rStyle w:val="AParrafosCar"/>
          <w:rFonts w:eastAsia="Calibri"/>
        </w:rPr>
        <w:t xml:space="preserve">El instrumento del cual se analizaron las evidencias de validez de constructo es la </w:t>
      </w:r>
      <w:r w:rsidRPr="00F37642">
        <w:rPr>
          <w:rStyle w:val="AParrafosCar"/>
        </w:rPr>
        <w:t xml:space="preserve">Escala del Rol de los Estudiantes en el Ciclo de la Violencia Escolar (ERECVE). Dicho instrumento fue diseñado por Pérez-Morán y Rodríguez-Macías </w:t>
      </w:r>
      <w:r w:rsidRPr="0032625F">
        <w:rPr>
          <w:rStyle w:val="AParrafosCar"/>
        </w:rPr>
        <w:t>para</w:t>
      </w:r>
      <w:r w:rsidRPr="00F37642">
        <w:rPr>
          <w:rStyle w:val="AParrafosCar"/>
        </w:rPr>
        <w:t xml:space="preserve"> su aplicación en la </w:t>
      </w:r>
      <w:r w:rsidRPr="00F37642">
        <w:t xml:space="preserve">estrategia evaluativa integral UEE 2016-2 en los cuatro municipios del Estado de Baja California </w:t>
      </w:r>
      <w:r w:rsidRPr="00F37642">
        <w:rPr>
          <w:rStyle w:val="AParrafosCar"/>
        </w:rPr>
        <w:t>(</w:t>
      </w:r>
      <w:r w:rsidRPr="00F37642">
        <w:t>Rodríguez-Macías, Pérez-Morán, &amp; Sarabia-Ocampo,</w:t>
      </w:r>
      <w:r w:rsidRPr="00F37642">
        <w:rPr>
          <w:rStyle w:val="AParrafosCar"/>
        </w:rPr>
        <w:t xml:space="preserve"> 2017). La escala se diseñ</w:t>
      </w:r>
      <w:r>
        <w:rPr>
          <w:rStyle w:val="AParrafosCar"/>
        </w:rPr>
        <w:t>ó a partir de las categorías</w:t>
      </w:r>
      <w:r w:rsidRPr="00F37642">
        <w:rPr>
          <w:rStyle w:val="AParrafosCar"/>
        </w:rPr>
        <w:t xml:space="preserve"> </w:t>
      </w:r>
      <w:r>
        <w:rPr>
          <w:rStyle w:val="AParrafosCar"/>
        </w:rPr>
        <w:t xml:space="preserve">basadas </w:t>
      </w:r>
      <w:r w:rsidRPr="001C5FD4">
        <w:t xml:space="preserve">en el enfoque de estudio </w:t>
      </w:r>
      <w:r w:rsidRPr="001C5FD4">
        <w:rPr>
          <w:rStyle w:val="AParrafosCar"/>
        </w:rPr>
        <w:t>d</w:t>
      </w:r>
      <w:r w:rsidRPr="001C5FD4">
        <w:t xml:space="preserve">el acoso escolar como proceso grupal propuesto </w:t>
      </w:r>
      <w:r>
        <w:t>Olweus (1993) y extendido por</w:t>
      </w:r>
      <w:r w:rsidRPr="001C5FD4">
        <w:t xml:space="preserve"> </w:t>
      </w:r>
      <w:r w:rsidRPr="001C5FD4">
        <w:rPr>
          <w:rStyle w:val="AParrafosCar"/>
        </w:rPr>
        <w:t>Salmivalli (1999, 2010)</w:t>
      </w:r>
      <w:r>
        <w:rPr>
          <w:rStyle w:val="AParrafosCar"/>
        </w:rPr>
        <w:t xml:space="preserve"> </w:t>
      </w:r>
      <w:r w:rsidRPr="00F37642">
        <w:rPr>
          <w:rStyle w:val="AParrafosCar"/>
        </w:rPr>
        <w:t xml:space="preserve">y que pueden observarse en </w:t>
      </w:r>
      <w:r w:rsidRPr="00F37642">
        <w:rPr>
          <w:rStyle w:val="AParrafosCar"/>
        </w:rPr>
        <w:lastRenderedPageBreak/>
        <w:t xml:space="preserve">el </w:t>
      </w:r>
      <w:r w:rsidRPr="00F37642">
        <w:rPr>
          <w:rStyle w:val="AParrafosCar"/>
          <w:i/>
        </w:rPr>
        <w:t>Participant-Role Questionnaire</w:t>
      </w:r>
      <w:r w:rsidRPr="00F37642">
        <w:rPr>
          <w:rStyle w:val="AParrafosCar"/>
          <w:rFonts w:eastAsia="Calibri"/>
        </w:rPr>
        <w:t xml:space="preserve"> (</w:t>
      </w:r>
      <w:r w:rsidRPr="00F37642">
        <w:t>Salmivalli, Lagerspetz, Björkqvist, Österman, y Kaukiainen, 1996</w:t>
      </w:r>
      <w:r w:rsidRPr="00F37642">
        <w:rPr>
          <w:rStyle w:val="AParrafosCar"/>
          <w:rFonts w:eastAsia="Calibri"/>
        </w:rPr>
        <w:t xml:space="preserve">). En total la ERECVE consta </w:t>
      </w:r>
      <w:r w:rsidRPr="00F37642">
        <w:t>de 19 ítems, con cinco opciones de respuesta. El alumno de secundaria debe señalar la frecuencia con que ocurren una serie de eventos relacionados con distintos tipos de roles en el ciclo de la violencia escolar. Las opciones de respuesta son: a) Nunca, b) Raramente, c) Mensualmente, d) Semanalmente y e) Diariamente.</w:t>
      </w:r>
    </w:p>
    <w:p w:rsidR="00521AA8" w:rsidRPr="00F37642" w:rsidRDefault="00521AA8" w:rsidP="00521AA8">
      <w:pPr>
        <w:pStyle w:val="AParrafos"/>
        <w:rPr>
          <w:rStyle w:val="AParrafosCar"/>
          <w:rFonts w:eastAsia="Calibri"/>
        </w:rPr>
      </w:pPr>
      <w:r w:rsidRPr="00F37642">
        <w:t>Por su parte, l</w:t>
      </w:r>
      <w:r w:rsidRPr="00F37642">
        <w:rPr>
          <w:rStyle w:val="AParrafosCar"/>
          <w:rFonts w:eastAsia="Calibri"/>
        </w:rPr>
        <w:t xml:space="preserve">a estructura de la ERECVE se compone de cinco sub-escalas. la primera sub-escala, referente al rol de la </w:t>
      </w:r>
      <w:r w:rsidRPr="00F37642">
        <w:rPr>
          <w:rStyle w:val="AParrafosCar"/>
          <w:rFonts w:eastAsia="Calibri"/>
          <w:i/>
        </w:rPr>
        <w:t xml:space="preserve">víctima </w:t>
      </w:r>
      <w:r w:rsidRPr="00F37642">
        <w:rPr>
          <w:rStyle w:val="AParrafosCar"/>
          <w:rFonts w:eastAsia="Calibri"/>
        </w:rPr>
        <w:t xml:space="preserve">en el ciclo de la violencia escolar, la integran cinco ítems. La segunda sub-escala, correspondiente al rol del </w:t>
      </w:r>
      <w:r w:rsidRPr="00F37642">
        <w:rPr>
          <w:rStyle w:val="AParrafosCar"/>
          <w:rFonts w:eastAsia="Calibri"/>
          <w:i/>
        </w:rPr>
        <w:t>agresor solitario</w:t>
      </w:r>
      <w:r w:rsidRPr="00F37642">
        <w:rPr>
          <w:rStyle w:val="AParrafosCar"/>
          <w:rFonts w:eastAsia="Calibri"/>
        </w:rPr>
        <w:t xml:space="preserve">, la conforman tres ítems. La tercera sub-escala, relacionada con el rol del </w:t>
      </w:r>
      <w:r w:rsidRPr="00F37642">
        <w:rPr>
          <w:rStyle w:val="AParrafosCar"/>
          <w:rFonts w:eastAsia="Calibri"/>
          <w:i/>
        </w:rPr>
        <w:t>agresor social</w:t>
      </w:r>
      <w:r w:rsidRPr="00F37642">
        <w:rPr>
          <w:rStyle w:val="AParrafosCar"/>
          <w:rFonts w:eastAsia="Calibri"/>
        </w:rPr>
        <w:t xml:space="preserve"> la componen cuatro ítems. La cuarta sub-escala, conformada por tres ítems, corresponde al rol del </w:t>
      </w:r>
      <w:r w:rsidRPr="00F37642">
        <w:rPr>
          <w:rStyle w:val="AParrafosCar"/>
          <w:rFonts w:eastAsia="Calibri"/>
          <w:i/>
        </w:rPr>
        <w:t>observador</w:t>
      </w:r>
      <w:r w:rsidRPr="00F37642">
        <w:rPr>
          <w:rStyle w:val="AParrafosCar"/>
          <w:rFonts w:eastAsia="Calibri"/>
        </w:rPr>
        <w:t xml:space="preserve">. Por último, la quinta sub-escala, relacionada con el rol de </w:t>
      </w:r>
      <w:r w:rsidRPr="00F37642">
        <w:rPr>
          <w:rStyle w:val="AParrafosCar"/>
          <w:rFonts w:eastAsia="Calibri"/>
          <w:i/>
        </w:rPr>
        <w:t>pacificador</w:t>
      </w:r>
      <w:r w:rsidRPr="00F37642">
        <w:rPr>
          <w:rStyle w:val="AParrafosCar"/>
          <w:rFonts w:eastAsia="Calibri"/>
        </w:rPr>
        <w:t xml:space="preserve"> o </w:t>
      </w:r>
      <w:r w:rsidRPr="00F37642">
        <w:rPr>
          <w:rStyle w:val="AParrafosCar"/>
          <w:rFonts w:eastAsia="Calibri"/>
          <w:i/>
        </w:rPr>
        <w:t>defensor</w:t>
      </w:r>
      <w:r w:rsidRPr="00F37642">
        <w:rPr>
          <w:rStyle w:val="AParrafosCar"/>
          <w:rFonts w:eastAsia="Calibri"/>
        </w:rPr>
        <w:t xml:space="preserve">, la integran cuatro ítems. En </w:t>
      </w:r>
      <w:r w:rsidRPr="009164BA">
        <w:rPr>
          <w:rStyle w:val="AParrafosCar"/>
          <w:rFonts w:eastAsia="Calibri"/>
        </w:rPr>
        <w:t xml:space="preserve">la </w:t>
      </w:r>
      <w:r w:rsidRPr="009164BA">
        <w:rPr>
          <w:rStyle w:val="AParrafosCar"/>
          <w:rFonts w:eastAsia="Calibri"/>
          <w:b/>
        </w:rPr>
        <w:t>Tabla 2</w:t>
      </w:r>
      <w:r w:rsidRPr="009164BA">
        <w:rPr>
          <w:rStyle w:val="AParrafosCar"/>
          <w:rFonts w:eastAsia="Calibri"/>
        </w:rPr>
        <w:t xml:space="preserve"> se</w:t>
      </w:r>
      <w:r w:rsidRPr="00F37642">
        <w:rPr>
          <w:rStyle w:val="AParrafosCar"/>
          <w:rFonts w:eastAsia="Calibri"/>
        </w:rPr>
        <w:t xml:space="preserve"> pueden observar los ítems agrupados por cada una de las sub-escalas de la ERECVE, así como la posición del ítem en la escala y su clave de respuesta.</w:t>
      </w:r>
    </w:p>
    <w:p w:rsidR="00521AA8" w:rsidRPr="0048059C" w:rsidRDefault="00521AA8" w:rsidP="00521AA8">
      <w:pPr>
        <w:pStyle w:val="CTtuloTabla"/>
        <w:rPr>
          <w:rFonts w:cs="Arial"/>
          <w:szCs w:val="24"/>
          <w:lang w:val="es-MX"/>
        </w:rPr>
      </w:pPr>
      <w:bookmarkStart w:id="2" w:name="_Toc3470259"/>
      <w:r w:rsidRPr="009164BA">
        <w:rPr>
          <w:b/>
          <w:lang w:val="es-MX"/>
        </w:rPr>
        <w:t>Tabla 2.</w:t>
      </w:r>
      <w:r w:rsidRPr="009164BA">
        <w:rPr>
          <w:lang w:val="es-MX"/>
        </w:rPr>
        <w:t xml:space="preserve"> Ítems</w:t>
      </w:r>
      <w:r w:rsidRPr="0082339C">
        <w:rPr>
          <w:lang w:val="es-MX"/>
        </w:rPr>
        <w:t xml:space="preserve"> y sub-escalas que conforman la Escala del Rol de los Estudiantes en el Ciclo de la Violencia Escolar (ERECVE)</w:t>
      </w:r>
      <w:bookmarkEnd w:id="2"/>
    </w:p>
    <w:tbl>
      <w:tblPr>
        <w:tblStyle w:val="Tablaconcuadrcula"/>
        <w:tblW w:w="9735" w:type="dxa"/>
        <w:tblBorders>
          <w:left w:val="none" w:sz="0" w:space="0" w:color="auto"/>
          <w:right w:val="none" w:sz="0" w:space="0" w:color="auto"/>
          <w:insideV w:val="none" w:sz="0" w:space="0" w:color="auto"/>
        </w:tblBorders>
        <w:tblLook w:val="04A0" w:firstRow="1" w:lastRow="0" w:firstColumn="1" w:lastColumn="0" w:noHBand="0" w:noVBand="1"/>
      </w:tblPr>
      <w:tblGrid>
        <w:gridCol w:w="1955"/>
        <w:gridCol w:w="1576"/>
        <w:gridCol w:w="5347"/>
        <w:gridCol w:w="857"/>
      </w:tblGrid>
      <w:tr w:rsidR="00521AA8" w:rsidRPr="00F37642" w:rsidTr="00DC1BF7">
        <w:trPr>
          <w:trHeight w:val="469"/>
        </w:trPr>
        <w:tc>
          <w:tcPr>
            <w:tcW w:w="1961" w:type="dxa"/>
            <w:shd w:val="clear" w:color="auto" w:fill="D9D9D9" w:themeFill="background1" w:themeFillShade="D9"/>
            <w:vAlign w:val="center"/>
          </w:tcPr>
          <w:p w:rsidR="00521AA8" w:rsidRPr="00F37642" w:rsidRDefault="00521AA8" w:rsidP="00DC1BF7">
            <w:pPr>
              <w:spacing w:before="40" w:after="40"/>
              <w:jc w:val="center"/>
              <w:rPr>
                <w:rFonts w:cs="Arial"/>
                <w:b/>
                <w:lang w:val="es-MX"/>
              </w:rPr>
            </w:pPr>
            <w:r w:rsidRPr="00F37642">
              <w:rPr>
                <w:rFonts w:cs="Arial"/>
                <w:b/>
                <w:lang w:val="es-MX"/>
              </w:rPr>
              <w:t>Sub-escala</w:t>
            </w:r>
          </w:p>
        </w:tc>
        <w:tc>
          <w:tcPr>
            <w:tcW w:w="1583" w:type="dxa"/>
            <w:shd w:val="clear" w:color="auto" w:fill="D9D9D9" w:themeFill="background1" w:themeFillShade="D9"/>
            <w:vAlign w:val="center"/>
          </w:tcPr>
          <w:p w:rsidR="00521AA8" w:rsidRPr="00F37642" w:rsidRDefault="00521AA8" w:rsidP="00DC1BF7">
            <w:pPr>
              <w:jc w:val="center"/>
              <w:rPr>
                <w:rFonts w:cs="Arial"/>
                <w:b/>
                <w:lang w:val="es-MX"/>
              </w:rPr>
            </w:pPr>
            <w:r w:rsidRPr="00F37642">
              <w:rPr>
                <w:rFonts w:cs="Arial"/>
                <w:b/>
                <w:lang w:val="es-MX"/>
              </w:rPr>
              <w:t>No. de ítem</w:t>
            </w:r>
          </w:p>
        </w:tc>
        <w:tc>
          <w:tcPr>
            <w:tcW w:w="5387" w:type="dxa"/>
            <w:shd w:val="clear" w:color="auto" w:fill="D9D9D9" w:themeFill="background1" w:themeFillShade="D9"/>
            <w:vAlign w:val="center"/>
          </w:tcPr>
          <w:p w:rsidR="00521AA8" w:rsidRPr="00F37642" w:rsidRDefault="00521AA8" w:rsidP="00DC1BF7">
            <w:pPr>
              <w:jc w:val="center"/>
              <w:rPr>
                <w:rFonts w:cs="Arial"/>
                <w:b/>
                <w:lang w:val="es-MX"/>
              </w:rPr>
            </w:pPr>
            <w:r w:rsidRPr="00F37642">
              <w:rPr>
                <w:rFonts w:cs="Arial"/>
                <w:b/>
                <w:lang w:val="es-MX"/>
              </w:rPr>
              <w:t>Ítem</w:t>
            </w:r>
          </w:p>
        </w:tc>
        <w:tc>
          <w:tcPr>
            <w:tcW w:w="804" w:type="dxa"/>
            <w:shd w:val="clear" w:color="auto" w:fill="D9D9D9" w:themeFill="background1" w:themeFillShade="D9"/>
            <w:vAlign w:val="center"/>
          </w:tcPr>
          <w:p w:rsidR="00521AA8" w:rsidRPr="00F37642" w:rsidRDefault="00521AA8" w:rsidP="00DC1BF7">
            <w:pPr>
              <w:spacing w:before="40" w:after="40"/>
              <w:jc w:val="center"/>
              <w:rPr>
                <w:rFonts w:cs="Arial"/>
                <w:b/>
                <w:lang w:val="es-MX"/>
              </w:rPr>
            </w:pPr>
            <w:r w:rsidRPr="00F37642">
              <w:rPr>
                <w:rFonts w:cs="Arial"/>
                <w:b/>
                <w:lang w:val="es-MX"/>
              </w:rPr>
              <w:t>Clave</w:t>
            </w:r>
          </w:p>
        </w:tc>
      </w:tr>
      <w:tr w:rsidR="00521AA8" w:rsidRPr="00F37642" w:rsidTr="00DC1BF7">
        <w:trPr>
          <w:trHeight w:val="273"/>
        </w:trPr>
        <w:tc>
          <w:tcPr>
            <w:tcW w:w="1961" w:type="dxa"/>
            <w:vMerge w:val="restart"/>
            <w:vAlign w:val="center"/>
          </w:tcPr>
          <w:p w:rsidR="00521AA8" w:rsidRPr="00F37642" w:rsidRDefault="00521AA8" w:rsidP="00DC1BF7">
            <w:pPr>
              <w:spacing w:before="40" w:after="40"/>
              <w:jc w:val="center"/>
              <w:rPr>
                <w:rFonts w:cs="Arial"/>
                <w:b/>
                <w:sz w:val="20"/>
                <w:szCs w:val="20"/>
                <w:lang w:val="es-MX"/>
              </w:rPr>
            </w:pPr>
            <w:r w:rsidRPr="00F37642">
              <w:rPr>
                <w:rFonts w:cs="Arial"/>
                <w:b/>
                <w:sz w:val="20"/>
                <w:szCs w:val="20"/>
                <w:lang w:val="es-MX"/>
              </w:rPr>
              <w:t>Sub-escala del Rol de Víctima en el Ciclo de la Violencia Escolar (SRVCVE)</w:t>
            </w:r>
          </w:p>
        </w:tc>
        <w:tc>
          <w:tcPr>
            <w:tcW w:w="1583" w:type="dxa"/>
            <w:vAlign w:val="center"/>
          </w:tcPr>
          <w:p w:rsidR="00521AA8" w:rsidRPr="00F37642" w:rsidRDefault="00521AA8" w:rsidP="00DC1BF7">
            <w:pPr>
              <w:jc w:val="center"/>
              <w:rPr>
                <w:rFonts w:cs="Arial"/>
                <w:sz w:val="18"/>
                <w:szCs w:val="18"/>
                <w:lang w:val="es-MX"/>
              </w:rPr>
            </w:pPr>
            <w:r w:rsidRPr="00F37642">
              <w:rPr>
                <w:rFonts w:cs="Arial"/>
                <w:sz w:val="18"/>
                <w:szCs w:val="18"/>
                <w:lang w:val="es-MX"/>
              </w:rPr>
              <w:t>S144.1</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Sufro violencia por parte de mis compañeros(as) de clase.</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19"/>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lang w:val="es-MX"/>
              </w:rPr>
            </w:pPr>
            <w:r w:rsidRPr="00F37642">
              <w:rPr>
                <w:rFonts w:cs="Arial"/>
                <w:sz w:val="18"/>
                <w:szCs w:val="18"/>
                <w:lang w:val="es-MX"/>
              </w:rPr>
              <w:t>S144.2</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 xml:space="preserve">Sufro violencia por parte de compañeros(as) de otros salones de clase. </w:t>
            </w:r>
          </w:p>
        </w:tc>
        <w:tc>
          <w:tcPr>
            <w:tcW w:w="804" w:type="dxa"/>
            <w:vAlign w:val="center"/>
          </w:tcPr>
          <w:p w:rsidR="00521AA8" w:rsidRPr="00F37642" w:rsidRDefault="00521AA8" w:rsidP="00DC1BF7">
            <w:pPr>
              <w:jc w:val="center"/>
              <w:rPr>
                <w:rFonts w:cs="Arial"/>
                <w:sz w:val="20"/>
                <w:szCs w:val="20"/>
              </w:rPr>
            </w:pPr>
            <w:r w:rsidRPr="00F37642">
              <w:rPr>
                <w:rFonts w:cs="Arial"/>
                <w:sz w:val="20"/>
                <w:szCs w:val="20"/>
                <w:lang w:val="es-MX"/>
              </w:rPr>
              <w:t>+</w:t>
            </w:r>
          </w:p>
        </w:tc>
      </w:tr>
      <w:tr w:rsidR="00521AA8" w:rsidRPr="00F37642" w:rsidTr="00DC1BF7">
        <w:trPr>
          <w:trHeight w:val="544"/>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lang w:val="es-MX"/>
              </w:rPr>
            </w:pPr>
            <w:r w:rsidRPr="00F37642">
              <w:rPr>
                <w:rFonts w:cs="Arial"/>
                <w:sz w:val="18"/>
                <w:szCs w:val="18"/>
                <w:lang w:val="es-MX"/>
              </w:rPr>
              <w:t>S144.3</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Sufro violencia por parte de alguno de los docentes de mi escuela.</w:t>
            </w:r>
          </w:p>
        </w:tc>
        <w:tc>
          <w:tcPr>
            <w:tcW w:w="804" w:type="dxa"/>
            <w:vAlign w:val="center"/>
          </w:tcPr>
          <w:p w:rsidR="00521AA8" w:rsidRPr="00F37642" w:rsidRDefault="00521AA8" w:rsidP="00DC1BF7">
            <w:pPr>
              <w:jc w:val="center"/>
              <w:rPr>
                <w:rFonts w:cs="Arial"/>
                <w:sz w:val="20"/>
                <w:szCs w:val="20"/>
              </w:rPr>
            </w:pPr>
            <w:r w:rsidRPr="00F37642">
              <w:rPr>
                <w:rFonts w:cs="Arial"/>
                <w:sz w:val="20"/>
                <w:szCs w:val="20"/>
                <w:lang w:val="es-MX"/>
              </w:rPr>
              <w:t>+</w:t>
            </w:r>
          </w:p>
        </w:tc>
      </w:tr>
      <w:tr w:rsidR="00521AA8" w:rsidRPr="00F37642" w:rsidTr="00DC1BF7">
        <w:trPr>
          <w:trHeight w:val="577"/>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S144.4</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Sufro violencia por parte de algún miembro del personal administrativo de la escuela.</w:t>
            </w:r>
          </w:p>
        </w:tc>
        <w:tc>
          <w:tcPr>
            <w:tcW w:w="804" w:type="dxa"/>
            <w:vAlign w:val="center"/>
          </w:tcPr>
          <w:p w:rsidR="00521AA8" w:rsidRPr="00F37642" w:rsidRDefault="00521AA8" w:rsidP="00DC1BF7">
            <w:pPr>
              <w:jc w:val="center"/>
              <w:rPr>
                <w:rFonts w:cs="Arial"/>
                <w:sz w:val="20"/>
                <w:szCs w:val="20"/>
              </w:rPr>
            </w:pPr>
            <w:r w:rsidRPr="00F37642">
              <w:rPr>
                <w:rFonts w:cs="Arial"/>
                <w:sz w:val="20"/>
                <w:szCs w:val="20"/>
                <w:lang w:val="es-MX"/>
              </w:rPr>
              <w:t>+</w:t>
            </w:r>
          </w:p>
        </w:tc>
      </w:tr>
      <w:tr w:rsidR="00521AA8" w:rsidRPr="00F37642" w:rsidTr="00DC1BF7">
        <w:trPr>
          <w:trHeight w:val="546"/>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S144.5</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Sufro violencia por parte de compañeros(as) fuera de mi escuela o en la comunidad en donde vivo.</w:t>
            </w:r>
          </w:p>
        </w:tc>
        <w:tc>
          <w:tcPr>
            <w:tcW w:w="804" w:type="dxa"/>
            <w:vAlign w:val="center"/>
          </w:tcPr>
          <w:p w:rsidR="00521AA8" w:rsidRPr="00F37642" w:rsidRDefault="00521AA8" w:rsidP="00DC1BF7">
            <w:pPr>
              <w:jc w:val="center"/>
              <w:rPr>
                <w:rFonts w:cs="Arial"/>
                <w:sz w:val="20"/>
                <w:szCs w:val="20"/>
              </w:rPr>
            </w:pPr>
            <w:r w:rsidRPr="00F37642">
              <w:rPr>
                <w:rFonts w:cs="Arial"/>
                <w:sz w:val="20"/>
                <w:szCs w:val="20"/>
                <w:lang w:val="es-MX"/>
              </w:rPr>
              <w:t>+</w:t>
            </w:r>
          </w:p>
        </w:tc>
      </w:tr>
      <w:tr w:rsidR="00521AA8" w:rsidRPr="00F37642" w:rsidTr="00DC1BF7">
        <w:trPr>
          <w:trHeight w:val="281"/>
        </w:trPr>
        <w:tc>
          <w:tcPr>
            <w:tcW w:w="1961" w:type="dxa"/>
            <w:vMerge w:val="restart"/>
            <w:vAlign w:val="center"/>
          </w:tcPr>
          <w:p w:rsidR="00521AA8" w:rsidRPr="00F37642" w:rsidRDefault="00521AA8" w:rsidP="00DC1BF7">
            <w:pPr>
              <w:spacing w:before="40" w:after="40"/>
              <w:jc w:val="center"/>
              <w:rPr>
                <w:rFonts w:cs="Arial"/>
                <w:b/>
                <w:sz w:val="20"/>
                <w:szCs w:val="20"/>
                <w:lang w:val="es-MX"/>
              </w:rPr>
            </w:pPr>
            <w:r w:rsidRPr="00F37642">
              <w:rPr>
                <w:rFonts w:cs="Arial"/>
                <w:b/>
                <w:sz w:val="20"/>
                <w:szCs w:val="20"/>
                <w:lang w:val="es-MX"/>
              </w:rPr>
              <w:t>Sub-escala del Rol del Agresor Solitario en el Ciclo de la Violencia Escolar (SRAS1CVE)</w:t>
            </w: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S144.6</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Practico violencia sobre mis compañeros(as) de clase.</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26"/>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S144.7</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Practico violencia sobre compañeros(as) de otros salones de clase.</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62"/>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S144.8</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Practico violencia sobre compañeros(as) fuera de mi escuela o en la comunidad en donde vivo.</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50"/>
        </w:trPr>
        <w:tc>
          <w:tcPr>
            <w:tcW w:w="1961" w:type="dxa"/>
            <w:vMerge w:val="restart"/>
            <w:vAlign w:val="center"/>
          </w:tcPr>
          <w:p w:rsidR="00521AA8" w:rsidRPr="00F37642" w:rsidRDefault="00521AA8" w:rsidP="00DC1BF7">
            <w:pPr>
              <w:spacing w:before="40" w:after="40"/>
              <w:jc w:val="center"/>
              <w:rPr>
                <w:rFonts w:cs="Arial"/>
                <w:b/>
                <w:sz w:val="20"/>
                <w:szCs w:val="20"/>
                <w:lang w:val="es-MX"/>
              </w:rPr>
            </w:pPr>
            <w:r w:rsidRPr="00F37642">
              <w:rPr>
                <w:rFonts w:cs="Arial"/>
                <w:b/>
                <w:sz w:val="20"/>
                <w:szCs w:val="20"/>
                <w:lang w:val="es-MX"/>
              </w:rPr>
              <w:lastRenderedPageBreak/>
              <w:t>Sub-e</w:t>
            </w:r>
            <w:r>
              <w:rPr>
                <w:rFonts w:cs="Arial"/>
                <w:b/>
                <w:sz w:val="20"/>
                <w:szCs w:val="20"/>
                <w:lang w:val="es-MX"/>
              </w:rPr>
              <w:t>scala del Rol del Agresor Social</w:t>
            </w:r>
            <w:r w:rsidRPr="00F37642">
              <w:rPr>
                <w:rFonts w:cs="Arial"/>
                <w:b/>
                <w:sz w:val="20"/>
                <w:szCs w:val="20"/>
                <w:lang w:val="es-MX"/>
              </w:rPr>
              <w:t xml:space="preserve"> en el Ciclo de la Violencia Escolar (SRAS2CVE)</w:t>
            </w: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S143.1</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Me reúno con un grupo de amigos(as) para practicar violencia sobre compañeros(as) de mi escuela.</w:t>
            </w:r>
          </w:p>
        </w:tc>
        <w:tc>
          <w:tcPr>
            <w:tcW w:w="804" w:type="dxa"/>
            <w:vAlign w:val="center"/>
          </w:tcPr>
          <w:p w:rsidR="00521AA8" w:rsidRPr="00F37642" w:rsidRDefault="00521AA8" w:rsidP="00DC1BF7">
            <w:pPr>
              <w:jc w:val="center"/>
              <w:rPr>
                <w:rFonts w:cs="Arial"/>
                <w:sz w:val="20"/>
                <w:szCs w:val="20"/>
                <w:lang w:val="es-MX"/>
              </w:rPr>
            </w:pPr>
            <w:r w:rsidRPr="00F37642">
              <w:rPr>
                <w:rFonts w:cs="Arial"/>
                <w:sz w:val="20"/>
                <w:szCs w:val="20"/>
                <w:lang w:val="es-MX"/>
              </w:rPr>
              <w:t>+</w:t>
            </w:r>
          </w:p>
        </w:tc>
      </w:tr>
      <w:tr w:rsidR="00521AA8" w:rsidRPr="00F37642" w:rsidTr="00DC1BF7">
        <w:trPr>
          <w:trHeight w:val="558"/>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S143.3</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Me reúno fuera de mi escuela con un grupo de amigos(as) para realizar actos vandálicos.</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66"/>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S143.5</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Realizo actos de vandalismo para recibir la admiración de mis amigos(as).</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60"/>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S143.7</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Practico violencia sobre otros compañeros(as) para sentirme superior a ellos.</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362"/>
        </w:trPr>
        <w:tc>
          <w:tcPr>
            <w:tcW w:w="1961" w:type="dxa"/>
            <w:vMerge w:val="restart"/>
            <w:vAlign w:val="center"/>
          </w:tcPr>
          <w:p w:rsidR="00521AA8" w:rsidRPr="00F37642" w:rsidRDefault="00521AA8" w:rsidP="00DC1BF7">
            <w:pPr>
              <w:spacing w:before="40" w:after="40"/>
              <w:ind w:left="51"/>
              <w:jc w:val="center"/>
              <w:rPr>
                <w:rFonts w:cs="Arial"/>
                <w:b/>
                <w:sz w:val="20"/>
                <w:szCs w:val="20"/>
                <w:lang w:val="es-MX"/>
              </w:rPr>
            </w:pPr>
            <w:r w:rsidRPr="00F37642">
              <w:rPr>
                <w:rFonts w:cs="Arial"/>
                <w:b/>
                <w:sz w:val="20"/>
                <w:szCs w:val="20"/>
                <w:lang w:val="es-MX"/>
              </w:rPr>
              <w:t xml:space="preserve">Sub-escala del Rol de Observador en el Ciclo de la Violencia Escolar (SROCVE) </w:t>
            </w: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S144.9</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Veo violencia entre mis compañeros(as) de clase.</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411"/>
        </w:trPr>
        <w:tc>
          <w:tcPr>
            <w:tcW w:w="1961" w:type="dxa"/>
            <w:vMerge/>
            <w:vAlign w:val="center"/>
          </w:tcPr>
          <w:p w:rsidR="00521AA8" w:rsidRPr="00F37642" w:rsidRDefault="00521AA8" w:rsidP="00DC1BF7">
            <w:pPr>
              <w:spacing w:before="40" w:after="40"/>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S144.10</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Veo violencia entre compañeros(as) de otros salones de clase.</w:t>
            </w:r>
          </w:p>
        </w:tc>
        <w:tc>
          <w:tcPr>
            <w:tcW w:w="804" w:type="dxa"/>
            <w:vAlign w:val="center"/>
          </w:tcPr>
          <w:p w:rsidR="00521AA8" w:rsidRPr="00F37642" w:rsidRDefault="00521AA8" w:rsidP="00DC1BF7">
            <w:pPr>
              <w:spacing w:before="40" w:after="40"/>
              <w:ind w:left="51"/>
              <w:jc w:val="center"/>
              <w:rPr>
                <w:rFonts w:cs="Arial"/>
                <w:sz w:val="20"/>
                <w:szCs w:val="20"/>
                <w:lang w:val="es-MX"/>
              </w:rPr>
            </w:pPr>
            <w:r w:rsidRPr="00F37642">
              <w:rPr>
                <w:rFonts w:cs="Arial"/>
                <w:sz w:val="20"/>
                <w:szCs w:val="20"/>
                <w:lang w:val="es-MX"/>
              </w:rPr>
              <w:t>+</w:t>
            </w:r>
          </w:p>
        </w:tc>
      </w:tr>
      <w:tr w:rsidR="00521AA8" w:rsidRPr="00F37642" w:rsidTr="00DC1BF7">
        <w:trPr>
          <w:trHeight w:val="559"/>
        </w:trPr>
        <w:tc>
          <w:tcPr>
            <w:tcW w:w="1961" w:type="dxa"/>
            <w:vMerge/>
            <w:vAlign w:val="center"/>
          </w:tcPr>
          <w:p w:rsidR="00521AA8" w:rsidRPr="00F37642" w:rsidRDefault="00521AA8" w:rsidP="00DC1BF7">
            <w:pPr>
              <w:spacing w:before="40" w:after="40"/>
              <w:ind w:left="51"/>
              <w:jc w:val="center"/>
              <w:rPr>
                <w:rFonts w:cs="Arial"/>
                <w:b/>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S144.11</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Veo violencia entre compañeros(as) de mi escuela y de otras escuelas o de la comunidad en donde vivo.</w:t>
            </w:r>
          </w:p>
        </w:tc>
        <w:tc>
          <w:tcPr>
            <w:tcW w:w="804" w:type="dxa"/>
            <w:vAlign w:val="center"/>
          </w:tcPr>
          <w:p w:rsidR="00521AA8" w:rsidRPr="00F37642" w:rsidRDefault="00521AA8" w:rsidP="00DC1BF7">
            <w:pPr>
              <w:spacing w:before="40" w:after="40"/>
              <w:ind w:left="51"/>
              <w:jc w:val="center"/>
              <w:rPr>
                <w:rFonts w:cs="Arial"/>
                <w:sz w:val="20"/>
                <w:szCs w:val="20"/>
                <w:lang w:val="es-MX"/>
              </w:rPr>
            </w:pPr>
            <w:r w:rsidRPr="00F37642">
              <w:rPr>
                <w:rFonts w:cs="Arial"/>
                <w:sz w:val="20"/>
                <w:szCs w:val="20"/>
                <w:lang w:val="es-MX"/>
              </w:rPr>
              <w:t>+</w:t>
            </w:r>
          </w:p>
        </w:tc>
      </w:tr>
      <w:tr w:rsidR="00521AA8" w:rsidRPr="00F37642" w:rsidTr="00DC1BF7">
        <w:trPr>
          <w:trHeight w:val="548"/>
        </w:trPr>
        <w:tc>
          <w:tcPr>
            <w:tcW w:w="1961" w:type="dxa"/>
            <w:vMerge w:val="restart"/>
            <w:vAlign w:val="center"/>
          </w:tcPr>
          <w:p w:rsidR="00521AA8" w:rsidRPr="00F37642" w:rsidRDefault="00521AA8" w:rsidP="00DC1BF7">
            <w:pPr>
              <w:jc w:val="center"/>
              <w:rPr>
                <w:rFonts w:cs="Arial"/>
                <w:b/>
                <w:sz w:val="20"/>
                <w:szCs w:val="20"/>
                <w:lang w:val="es-MX"/>
              </w:rPr>
            </w:pPr>
            <w:r w:rsidRPr="00F37642">
              <w:rPr>
                <w:rFonts w:cs="Arial"/>
                <w:b/>
                <w:sz w:val="20"/>
                <w:szCs w:val="20"/>
                <w:lang w:val="es-MX"/>
              </w:rPr>
              <w:t>Sub-escala del Rol de Pacificador en el Ciclo de la Violencia Escolar (SRPCVE)</w:t>
            </w: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S143.2</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Me reúno con un grupo de compañero(as) para realizar actividades extraescolares.</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56"/>
        </w:trPr>
        <w:tc>
          <w:tcPr>
            <w:tcW w:w="1961" w:type="dxa"/>
            <w:vMerge/>
            <w:vAlign w:val="center"/>
          </w:tcPr>
          <w:p w:rsidR="00521AA8" w:rsidRPr="00F37642" w:rsidRDefault="00521AA8" w:rsidP="00DC1BF7">
            <w:pPr>
              <w:spacing w:before="40" w:after="40"/>
              <w:jc w:val="center"/>
              <w:rPr>
                <w:rFonts w:cs="Arial"/>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S143.4</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Me reúno fuera de mi escuela con un grupo de amigos(as) para realizar actividades deportivas o culturales.</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99"/>
        </w:trPr>
        <w:tc>
          <w:tcPr>
            <w:tcW w:w="1961" w:type="dxa"/>
            <w:vMerge/>
            <w:vAlign w:val="center"/>
          </w:tcPr>
          <w:p w:rsidR="00521AA8" w:rsidRPr="00F37642" w:rsidRDefault="00521AA8" w:rsidP="00DC1BF7">
            <w:pPr>
              <w:spacing w:before="40" w:after="40"/>
              <w:jc w:val="center"/>
              <w:rPr>
                <w:rFonts w:cs="Arial"/>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S143.6</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Realizo actividades de voluntariado con el fin de ayudar a personas en condiciones de vulnerabilidad.</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r w:rsidR="00521AA8" w:rsidRPr="00F37642" w:rsidTr="00DC1BF7">
        <w:trPr>
          <w:trHeight w:val="558"/>
        </w:trPr>
        <w:tc>
          <w:tcPr>
            <w:tcW w:w="1961" w:type="dxa"/>
            <w:vMerge/>
            <w:vAlign w:val="center"/>
          </w:tcPr>
          <w:p w:rsidR="00521AA8" w:rsidRPr="00F37642" w:rsidRDefault="00521AA8" w:rsidP="00DC1BF7">
            <w:pPr>
              <w:spacing w:before="40" w:after="40"/>
              <w:jc w:val="center"/>
              <w:rPr>
                <w:rFonts w:cs="Arial"/>
                <w:sz w:val="20"/>
                <w:szCs w:val="20"/>
                <w:lang w:val="es-MX"/>
              </w:rPr>
            </w:pPr>
          </w:p>
        </w:tc>
        <w:tc>
          <w:tcPr>
            <w:tcW w:w="1583" w:type="dxa"/>
            <w:vAlign w:val="center"/>
          </w:tcPr>
          <w:p w:rsidR="00521AA8" w:rsidRPr="00F37642" w:rsidRDefault="00521AA8" w:rsidP="00DC1BF7">
            <w:pPr>
              <w:jc w:val="center"/>
              <w:rPr>
                <w:rFonts w:cs="Arial"/>
                <w:sz w:val="18"/>
                <w:szCs w:val="18"/>
              </w:rPr>
            </w:pPr>
            <w:r w:rsidRPr="00F37642">
              <w:rPr>
                <w:rFonts w:cs="Arial"/>
                <w:sz w:val="18"/>
                <w:szCs w:val="18"/>
              </w:rPr>
              <w:t>S143.8</w:t>
            </w:r>
          </w:p>
        </w:tc>
        <w:tc>
          <w:tcPr>
            <w:tcW w:w="5387" w:type="dxa"/>
            <w:vAlign w:val="center"/>
          </w:tcPr>
          <w:p w:rsidR="00521AA8" w:rsidRPr="00F37642" w:rsidRDefault="00521AA8" w:rsidP="00DC1BF7">
            <w:pPr>
              <w:rPr>
                <w:rFonts w:cs="Arial"/>
                <w:sz w:val="18"/>
                <w:szCs w:val="18"/>
                <w:lang w:val="es-MX"/>
              </w:rPr>
            </w:pPr>
            <w:r w:rsidRPr="00F37642">
              <w:rPr>
                <w:rFonts w:cs="Arial"/>
                <w:sz w:val="18"/>
                <w:szCs w:val="18"/>
                <w:lang w:val="es-MX"/>
              </w:rPr>
              <w:t>Ayudo a otros compañeros(as) que se encuentran en problemas para mejorar su situación.</w:t>
            </w:r>
          </w:p>
        </w:tc>
        <w:tc>
          <w:tcPr>
            <w:tcW w:w="804" w:type="dxa"/>
            <w:vAlign w:val="center"/>
          </w:tcPr>
          <w:p w:rsidR="00521AA8" w:rsidRPr="00F37642" w:rsidRDefault="00521AA8" w:rsidP="00DC1BF7">
            <w:pPr>
              <w:spacing w:before="40" w:after="40"/>
              <w:jc w:val="center"/>
              <w:rPr>
                <w:rFonts w:cs="Arial"/>
                <w:sz w:val="20"/>
                <w:szCs w:val="20"/>
                <w:lang w:val="es-MX"/>
              </w:rPr>
            </w:pPr>
            <w:r w:rsidRPr="00F37642">
              <w:rPr>
                <w:rFonts w:cs="Arial"/>
                <w:sz w:val="20"/>
                <w:szCs w:val="20"/>
                <w:lang w:val="es-MX"/>
              </w:rPr>
              <w:t>-</w:t>
            </w:r>
          </w:p>
        </w:tc>
      </w:tr>
    </w:tbl>
    <w:p w:rsidR="00521AA8" w:rsidRPr="00F37642" w:rsidRDefault="00521AA8" w:rsidP="00521AA8">
      <w:pPr>
        <w:pStyle w:val="ESubtitulo"/>
        <w:sectPr w:rsidR="00521AA8" w:rsidRPr="00F37642" w:rsidSect="00F37642">
          <w:footerReference w:type="default" r:id="rId6"/>
          <w:pgSz w:w="12240" w:h="15840"/>
          <w:pgMar w:top="1418" w:right="900" w:bottom="1276" w:left="1418" w:header="708" w:footer="708" w:gutter="0"/>
          <w:cols w:space="708"/>
          <w:docGrid w:linePitch="360"/>
        </w:sectPr>
      </w:pPr>
    </w:p>
    <w:p w:rsidR="00521AA8" w:rsidRPr="00F37642" w:rsidRDefault="00521AA8" w:rsidP="00521AA8">
      <w:pPr>
        <w:pStyle w:val="ESubtitulo"/>
      </w:pPr>
      <w:bookmarkStart w:id="3" w:name="_Toc3470235"/>
      <w:r w:rsidRPr="00F37642">
        <w:lastRenderedPageBreak/>
        <w:t>3.3. Base de datos</w:t>
      </w:r>
      <w:bookmarkEnd w:id="3"/>
    </w:p>
    <w:p w:rsidR="00521AA8" w:rsidRPr="00F37642" w:rsidRDefault="00521AA8" w:rsidP="00521AA8">
      <w:pPr>
        <w:pStyle w:val="AParrafos"/>
        <w:ind w:firstLine="0"/>
      </w:pPr>
      <w:r w:rsidRPr="00F37642">
        <w:t>Se utilizó para el análisis de la estructura interna de la ERECVE una base de datos conformada por 203 variables. Dicha base de datos se integra por las respuestas de alumnos de secundaria que participaron en la aplicación de la estrategia evaluativa integral 2016-2 coordinada por los investigadores de la UEE en colaboración con autoridades educativas de la SEEBC en los cinco municipios del Estado de Baja California (Rodríguez-Macías, et al., 2017). La base de datos se conforma por 15,861 casos referidos a alumnos de Educación Secundaria Obligatoria (ESO), de los cuales el 49.7% son mujeres y el 50.3% hombres. La edad de los alumnos encuestados oscilaba entre 12 y 18 años, siendo el 23.7% de 1º, 24.1% de 2º, 26.0% de 3º y el 26.2% de 4º de ESO.</w:t>
      </w:r>
    </w:p>
    <w:p w:rsidR="00521AA8" w:rsidRPr="00F37642" w:rsidRDefault="00521AA8" w:rsidP="00521AA8">
      <w:pPr>
        <w:pStyle w:val="AParrafos"/>
      </w:pPr>
      <w:r w:rsidRPr="00F37642">
        <w:t>Por su parte, del 100% de los casos registrados en la base de datos, el 65.5% corresponde a alumnos del turno matutino, el 0.1% al turno intermedio, el 5.5% al turno completo, y el 28.4% y 5% a alumnos de los turnos vespertino y nocturno respectivamente. En cuanto a la variable del tipo de modalidad de educación secundaria, el 50.2% de los alumnos encuestados pertenecen a la modalidad general, el 28.8% a la técnica, el 7.4% a la telesecundaria, el 9.0% a la privada, y el 4.2% y 0.3% a las modalidades indígena y de trabajadores respectivamente.</w:t>
      </w:r>
    </w:p>
    <w:p w:rsidR="00521AA8" w:rsidRPr="00F37642" w:rsidRDefault="00521AA8" w:rsidP="00521AA8">
      <w:pPr>
        <w:pStyle w:val="ESubtitulo"/>
      </w:pPr>
      <w:bookmarkStart w:id="4" w:name="_Toc3470236"/>
      <w:r w:rsidRPr="00F37642">
        <w:t xml:space="preserve">3.4. </w:t>
      </w:r>
      <w:r w:rsidRPr="0032625F">
        <w:t>Procedimiento</w:t>
      </w:r>
      <w:bookmarkEnd w:id="4"/>
    </w:p>
    <w:p w:rsidR="00521AA8" w:rsidRPr="00F37642" w:rsidRDefault="00521AA8" w:rsidP="00521AA8">
      <w:pPr>
        <w:pStyle w:val="AParrafos"/>
        <w:ind w:firstLine="0"/>
      </w:pPr>
      <w:r w:rsidRPr="00F37642">
        <w:t xml:space="preserve">El procedimiento para llevar acabo el estudio psicométrico se organizó en cuatro etapas: (I) Análisis preliminar, (II) Análisis </w:t>
      </w:r>
      <w:r w:rsidRPr="0032625F">
        <w:t>Factorial</w:t>
      </w:r>
      <w:r w:rsidRPr="00F37642">
        <w:t xml:space="preserve"> Exploratorio (AFE), (III) Análisis Factorial Confirmatorio (AFC), y (IV) Análisis de correlación convergente y discriminante. En </w:t>
      </w:r>
      <w:r w:rsidRPr="009164BA">
        <w:t xml:space="preserve">la </w:t>
      </w:r>
      <w:r w:rsidRPr="009164BA">
        <w:rPr>
          <w:b/>
        </w:rPr>
        <w:t>Tabla 3</w:t>
      </w:r>
      <w:r w:rsidRPr="00F37642">
        <w:t xml:space="preserve"> </w:t>
      </w:r>
      <w:r w:rsidRPr="00F37642">
        <w:lastRenderedPageBreak/>
        <w:t xml:space="preserve">se señalan las actividades del estudio organizadas en las cinco etapas mencionadas, así como los análisis y algunos estadísticos reportados a lo largo de las etapas del estudio. Cabe señalar que para la realización de los análisis estadísticos se utilizaron diversos softwares entre los que se encuentran el paquete estadístico IBM SPSS versión 21, el Structural Equation Modeling Software (EQS 6.1) (Bentler, 2012) y el R Statistical X64 V 3.5.2 junto con las paqueterías estadísticas </w:t>
      </w:r>
      <w:r w:rsidRPr="00F37642">
        <w:rPr>
          <w:i/>
        </w:rPr>
        <w:t>psych</w:t>
      </w:r>
      <w:r w:rsidRPr="00F37642">
        <w:t xml:space="preserve"> (Revelle, 2008) y </w:t>
      </w:r>
      <w:r w:rsidRPr="00F37642">
        <w:rPr>
          <w:i/>
        </w:rPr>
        <w:t>lavaan</w:t>
      </w:r>
      <w:r w:rsidRPr="00F37642">
        <w:t xml:space="preserve"> (Rosseel, 2012).</w:t>
      </w:r>
    </w:p>
    <w:p w:rsidR="00521AA8" w:rsidRPr="0082339C" w:rsidRDefault="00521AA8" w:rsidP="00521AA8">
      <w:pPr>
        <w:pStyle w:val="CTtuloTabla"/>
        <w:rPr>
          <w:lang w:val="es-MX"/>
        </w:rPr>
      </w:pPr>
      <w:bookmarkStart w:id="5" w:name="_Toc3470260"/>
      <w:r w:rsidRPr="009164BA">
        <w:rPr>
          <w:b/>
          <w:lang w:val="es-MX"/>
        </w:rPr>
        <w:t>Tabla 3.</w:t>
      </w:r>
      <w:r w:rsidRPr="0082339C">
        <w:rPr>
          <w:lang w:val="es-MX"/>
        </w:rPr>
        <w:t xml:space="preserve"> Modelo de etapas y actividades</w:t>
      </w:r>
      <w:bookmarkEnd w:id="5"/>
    </w:p>
    <w:tbl>
      <w:tblPr>
        <w:tblW w:w="9923" w:type="dxa"/>
        <w:tblLook w:val="04A0" w:firstRow="1" w:lastRow="0" w:firstColumn="1" w:lastColumn="0" w:noHBand="0" w:noVBand="1"/>
      </w:tblPr>
      <w:tblGrid>
        <w:gridCol w:w="1985"/>
        <w:gridCol w:w="7938"/>
      </w:tblGrid>
      <w:tr w:rsidR="00521AA8" w:rsidRPr="00F37642" w:rsidTr="00DC1BF7">
        <w:trPr>
          <w:trHeight w:val="458"/>
        </w:trPr>
        <w:tc>
          <w:tcPr>
            <w:tcW w:w="1985" w:type="dxa"/>
            <w:tcBorders>
              <w:top w:val="single" w:sz="4" w:space="0" w:color="7F7F7F"/>
              <w:left w:val="nil"/>
              <w:bottom w:val="single" w:sz="4" w:space="0" w:color="7F7F7F"/>
              <w:right w:val="nil"/>
            </w:tcBorders>
            <w:shd w:val="clear" w:color="auto" w:fill="D9D9D9" w:themeFill="background1" w:themeFillShade="D9"/>
            <w:vAlign w:val="center"/>
            <w:hideMark/>
          </w:tcPr>
          <w:p w:rsidR="00521AA8" w:rsidRPr="00F37642" w:rsidRDefault="00521AA8" w:rsidP="00DC1BF7">
            <w:pPr>
              <w:pStyle w:val="NormalWeb"/>
              <w:spacing w:before="0" w:beforeAutospacing="0" w:after="0" w:afterAutospacing="0" w:line="256" w:lineRule="auto"/>
              <w:jc w:val="center"/>
              <w:rPr>
                <w:rFonts w:ascii="Arial" w:hAnsi="Arial" w:cs="Arial"/>
                <w:b/>
                <w:sz w:val="22"/>
                <w:szCs w:val="22"/>
                <w:lang w:val="es-MX"/>
              </w:rPr>
            </w:pPr>
            <w:r w:rsidRPr="00F37642">
              <w:rPr>
                <w:rFonts w:ascii="Arial" w:hAnsi="Arial" w:cs="Arial"/>
                <w:b/>
                <w:color w:val="000000"/>
                <w:sz w:val="22"/>
                <w:szCs w:val="22"/>
                <w:lang w:val="es-MX"/>
              </w:rPr>
              <w:t>Etapas</w:t>
            </w:r>
          </w:p>
        </w:tc>
        <w:tc>
          <w:tcPr>
            <w:tcW w:w="7938" w:type="dxa"/>
            <w:tcBorders>
              <w:top w:val="single" w:sz="4" w:space="0" w:color="7F7F7F"/>
              <w:left w:val="nil"/>
              <w:bottom w:val="single" w:sz="4" w:space="0" w:color="7F7F7F"/>
              <w:right w:val="nil"/>
            </w:tcBorders>
            <w:shd w:val="clear" w:color="auto" w:fill="D9D9D9" w:themeFill="background1" w:themeFillShade="D9"/>
            <w:vAlign w:val="center"/>
            <w:hideMark/>
          </w:tcPr>
          <w:p w:rsidR="00521AA8" w:rsidRPr="00F37642" w:rsidRDefault="00521AA8" w:rsidP="00DC1BF7">
            <w:pPr>
              <w:pStyle w:val="NormalWeb"/>
              <w:spacing w:before="0" w:beforeAutospacing="0" w:after="0" w:afterAutospacing="0" w:line="256" w:lineRule="auto"/>
              <w:jc w:val="center"/>
              <w:rPr>
                <w:rFonts w:ascii="Arial" w:hAnsi="Arial" w:cs="Arial"/>
                <w:b/>
                <w:sz w:val="22"/>
                <w:szCs w:val="22"/>
                <w:lang w:val="es-MX"/>
              </w:rPr>
            </w:pPr>
            <w:r w:rsidRPr="00F37642">
              <w:rPr>
                <w:rFonts w:ascii="Arial" w:hAnsi="Arial" w:cs="Arial"/>
                <w:b/>
                <w:color w:val="000000"/>
                <w:sz w:val="22"/>
                <w:szCs w:val="22"/>
                <w:lang w:val="es-MX"/>
              </w:rPr>
              <w:t>Actividades</w:t>
            </w:r>
          </w:p>
        </w:tc>
      </w:tr>
      <w:tr w:rsidR="00521AA8" w:rsidRPr="00505DCA" w:rsidTr="00DC1BF7">
        <w:trPr>
          <w:trHeight w:val="261"/>
        </w:trPr>
        <w:tc>
          <w:tcPr>
            <w:tcW w:w="1985" w:type="dxa"/>
            <w:vMerge w:val="restart"/>
            <w:tcBorders>
              <w:top w:val="single" w:sz="4" w:space="0" w:color="7F7F7F"/>
              <w:left w:val="nil"/>
              <w:right w:val="nil"/>
            </w:tcBorders>
            <w:vAlign w:val="center"/>
            <w:hideMark/>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r w:rsidRPr="00F37642">
              <w:rPr>
                <w:rFonts w:ascii="Arial" w:hAnsi="Arial" w:cs="Arial"/>
                <w:b/>
                <w:bCs/>
                <w:color w:val="000000"/>
                <w:sz w:val="20"/>
                <w:szCs w:val="20"/>
                <w:lang w:val="es-MX"/>
              </w:rPr>
              <w:t>I. Análisis preliminares</w:t>
            </w:r>
          </w:p>
        </w:tc>
        <w:tc>
          <w:tcPr>
            <w:tcW w:w="7938" w:type="dxa"/>
            <w:tcBorders>
              <w:top w:val="single" w:sz="4" w:space="0" w:color="7F7F7F"/>
              <w:left w:val="nil"/>
              <w:bottom w:val="single" w:sz="4" w:space="0" w:color="7F7F7F"/>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color w:val="000000"/>
                <w:sz w:val="18"/>
                <w:szCs w:val="18"/>
                <w:lang w:val="es-MX"/>
              </w:rPr>
            </w:pPr>
            <w:r w:rsidRPr="00F37642">
              <w:rPr>
                <w:rFonts w:ascii="Arial" w:hAnsi="Arial" w:cs="Arial"/>
                <w:color w:val="000000"/>
                <w:sz w:val="18"/>
                <w:szCs w:val="18"/>
                <w:lang w:val="es-MX"/>
              </w:rPr>
              <w:t>1.1. Eliminación de valores perdidos y datos erróneos.</w:t>
            </w:r>
          </w:p>
        </w:tc>
      </w:tr>
      <w:tr w:rsidR="00521AA8" w:rsidRPr="00505DCA" w:rsidTr="00DC1BF7">
        <w:trPr>
          <w:trHeight w:val="281"/>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bCs/>
                <w:color w:val="000000"/>
                <w:sz w:val="20"/>
                <w:szCs w:val="20"/>
                <w:lang w:val="es-MX"/>
              </w:rPr>
            </w:pPr>
          </w:p>
        </w:tc>
        <w:tc>
          <w:tcPr>
            <w:tcW w:w="7938" w:type="dxa"/>
            <w:tcBorders>
              <w:top w:val="single" w:sz="4" w:space="0" w:color="7F7F7F"/>
              <w:left w:val="nil"/>
              <w:bottom w:val="single" w:sz="4" w:space="0" w:color="7F7F7F"/>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color w:val="000000"/>
                <w:sz w:val="18"/>
                <w:szCs w:val="18"/>
                <w:lang w:val="es-MX"/>
              </w:rPr>
            </w:pPr>
            <w:r w:rsidRPr="00F37642">
              <w:rPr>
                <w:rFonts w:ascii="Arial" w:hAnsi="Arial" w:cs="Arial"/>
                <w:color w:val="000000"/>
                <w:sz w:val="18"/>
                <w:szCs w:val="18"/>
                <w:lang w:val="es-MX"/>
              </w:rPr>
              <w:t>1.2. Análisis descriptivo de las puntuaciones totales de la escala y por ítem</w:t>
            </w:r>
          </w:p>
        </w:tc>
      </w:tr>
      <w:tr w:rsidR="00521AA8" w:rsidRPr="00505DCA" w:rsidTr="00DC1BF7">
        <w:trPr>
          <w:trHeight w:val="286"/>
        </w:trPr>
        <w:tc>
          <w:tcPr>
            <w:tcW w:w="1985" w:type="dxa"/>
            <w:vMerge/>
            <w:tcBorders>
              <w:left w:val="nil"/>
              <w:right w:val="nil"/>
            </w:tcBorders>
            <w:vAlign w:val="center"/>
            <w:hideMark/>
          </w:tcPr>
          <w:p w:rsidR="00521AA8" w:rsidRPr="00F37642" w:rsidRDefault="00521AA8" w:rsidP="00DC1BF7">
            <w:pPr>
              <w:jc w:val="center"/>
              <w:rPr>
                <w:rFonts w:eastAsia="Times New Roman" w:cs="Arial"/>
                <w:b/>
                <w:bCs/>
                <w:color w:val="000000"/>
                <w:sz w:val="20"/>
                <w:szCs w:val="20"/>
                <w:lang w:val="es-MX"/>
              </w:rPr>
            </w:pPr>
          </w:p>
        </w:tc>
        <w:tc>
          <w:tcPr>
            <w:tcW w:w="7938" w:type="dxa"/>
            <w:tcBorders>
              <w:top w:val="single" w:sz="4" w:space="0" w:color="7F7F7F"/>
              <w:left w:val="nil"/>
              <w:bottom w:val="single" w:sz="4" w:space="0" w:color="7F7F7F"/>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sz w:val="18"/>
                <w:szCs w:val="18"/>
                <w:lang w:val="es-MX"/>
              </w:rPr>
            </w:pPr>
            <w:r w:rsidRPr="00F37642">
              <w:rPr>
                <w:rFonts w:ascii="Arial" w:hAnsi="Arial" w:cs="Arial"/>
                <w:sz w:val="18"/>
                <w:szCs w:val="18"/>
                <w:lang w:val="es-MX"/>
              </w:rPr>
              <w:t>1.3. Exploración de la normalidad y eliminación de casos con puntuaciones atípicas.</w:t>
            </w:r>
          </w:p>
        </w:tc>
      </w:tr>
      <w:tr w:rsidR="00521AA8" w:rsidRPr="00505DCA" w:rsidTr="00DC1BF7">
        <w:trPr>
          <w:trHeight w:val="543"/>
        </w:trPr>
        <w:tc>
          <w:tcPr>
            <w:tcW w:w="1985" w:type="dxa"/>
            <w:vMerge/>
            <w:tcBorders>
              <w:left w:val="nil"/>
              <w:right w:val="nil"/>
            </w:tcBorders>
            <w:vAlign w:val="center"/>
          </w:tcPr>
          <w:p w:rsidR="00521AA8" w:rsidRPr="00F37642" w:rsidRDefault="00521AA8" w:rsidP="00DC1BF7">
            <w:pPr>
              <w:jc w:val="center"/>
              <w:rPr>
                <w:rFonts w:eastAsia="Times New Roman" w:cs="Arial"/>
                <w:b/>
                <w:bCs/>
                <w:color w:val="000000"/>
                <w:sz w:val="20"/>
                <w:szCs w:val="20"/>
                <w:lang w:val="es-MX"/>
              </w:rPr>
            </w:pPr>
          </w:p>
        </w:tc>
        <w:tc>
          <w:tcPr>
            <w:tcW w:w="7938" w:type="dxa"/>
            <w:tcBorders>
              <w:top w:val="single" w:sz="4" w:space="0" w:color="7F7F7F"/>
              <w:left w:val="nil"/>
              <w:bottom w:val="single" w:sz="4" w:space="0" w:color="7F7F7F"/>
              <w:right w:val="nil"/>
            </w:tcBorders>
            <w:vAlign w:val="center"/>
          </w:tcPr>
          <w:p w:rsidR="00521AA8" w:rsidRPr="00F37642" w:rsidRDefault="00521AA8" w:rsidP="00DC1BF7">
            <w:pPr>
              <w:pStyle w:val="NormalWeb"/>
              <w:spacing w:before="0" w:beforeAutospacing="0" w:after="0" w:afterAutospacing="0" w:line="256" w:lineRule="auto"/>
              <w:rPr>
                <w:rFonts w:ascii="Arial" w:hAnsi="Arial" w:cs="Arial"/>
                <w:sz w:val="18"/>
                <w:szCs w:val="18"/>
                <w:lang w:val="es-MX"/>
              </w:rPr>
            </w:pPr>
            <w:r w:rsidRPr="00F37642">
              <w:rPr>
                <w:rFonts w:ascii="Arial" w:hAnsi="Arial" w:cs="Arial"/>
                <w:sz w:val="18"/>
                <w:szCs w:val="18"/>
                <w:lang w:val="es-MX"/>
              </w:rPr>
              <w:t>1.4. Verificación de los supuestos de normalidad, linealidad y multicolinealidad de las puntuaciones.</w:t>
            </w:r>
          </w:p>
        </w:tc>
      </w:tr>
      <w:tr w:rsidR="00521AA8" w:rsidRPr="00505DCA" w:rsidTr="00DC1BF7">
        <w:trPr>
          <w:trHeight w:val="397"/>
        </w:trPr>
        <w:tc>
          <w:tcPr>
            <w:tcW w:w="1985" w:type="dxa"/>
            <w:vMerge/>
            <w:tcBorders>
              <w:left w:val="nil"/>
              <w:right w:val="nil"/>
            </w:tcBorders>
            <w:vAlign w:val="center"/>
            <w:hideMark/>
          </w:tcPr>
          <w:p w:rsidR="00521AA8" w:rsidRPr="00F37642" w:rsidRDefault="00521AA8" w:rsidP="00DC1BF7">
            <w:pPr>
              <w:jc w:val="center"/>
              <w:rPr>
                <w:rFonts w:eastAsia="Times New Roman" w:cs="Arial"/>
                <w:b/>
                <w:bCs/>
                <w:color w:val="000000"/>
                <w:sz w:val="20"/>
                <w:szCs w:val="20"/>
                <w:lang w:val="es-MX"/>
              </w:rPr>
            </w:pPr>
          </w:p>
        </w:tc>
        <w:tc>
          <w:tcPr>
            <w:tcW w:w="7938" w:type="dxa"/>
            <w:tcBorders>
              <w:top w:val="single" w:sz="4" w:space="0" w:color="7F7F7F"/>
              <w:left w:val="nil"/>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color w:val="000000"/>
                <w:sz w:val="18"/>
                <w:szCs w:val="18"/>
                <w:lang w:val="es-MX"/>
              </w:rPr>
            </w:pPr>
            <w:r w:rsidRPr="00F37642">
              <w:rPr>
                <w:rFonts w:ascii="Arial" w:hAnsi="Arial" w:cs="Arial"/>
                <w:color w:val="000000"/>
                <w:sz w:val="18"/>
                <w:szCs w:val="18"/>
                <w:lang w:val="es-MX"/>
              </w:rPr>
              <w:t>1.5. Análisis de confiabilidad y discriminación mediante los supuestos de la TCT.</w:t>
            </w:r>
          </w:p>
        </w:tc>
      </w:tr>
      <w:tr w:rsidR="00521AA8" w:rsidRPr="00505DCA" w:rsidTr="00DC1BF7">
        <w:trPr>
          <w:trHeight w:val="267"/>
        </w:trPr>
        <w:tc>
          <w:tcPr>
            <w:tcW w:w="1985" w:type="dxa"/>
            <w:vMerge w:val="restart"/>
            <w:tcBorders>
              <w:top w:val="single" w:sz="4" w:space="0" w:color="7F7F7F"/>
              <w:left w:val="nil"/>
              <w:right w:val="nil"/>
            </w:tcBorders>
            <w:vAlign w:val="center"/>
            <w:hideMark/>
          </w:tcPr>
          <w:p w:rsidR="00521AA8" w:rsidRPr="00F37642" w:rsidRDefault="00521AA8" w:rsidP="00DC1BF7">
            <w:pPr>
              <w:pStyle w:val="NormalWeb"/>
              <w:spacing w:before="0" w:beforeAutospacing="0" w:after="0" w:afterAutospacing="0" w:line="256" w:lineRule="auto"/>
              <w:jc w:val="center"/>
              <w:rPr>
                <w:rFonts w:ascii="Arial" w:hAnsi="Arial" w:cs="Arial"/>
                <w:b/>
                <w:bCs/>
                <w:color w:val="000000"/>
                <w:sz w:val="20"/>
                <w:szCs w:val="20"/>
                <w:lang w:val="es-MX"/>
              </w:rPr>
            </w:pPr>
            <w:r w:rsidRPr="00F37642">
              <w:rPr>
                <w:rFonts w:ascii="Arial" w:hAnsi="Arial" w:cs="Arial"/>
                <w:b/>
                <w:sz w:val="20"/>
                <w:szCs w:val="20"/>
                <w:lang w:val="es-MX"/>
              </w:rPr>
              <w:t>II. Análisis Factorial Exploratorio (AFE)</w:t>
            </w:r>
          </w:p>
        </w:tc>
        <w:tc>
          <w:tcPr>
            <w:tcW w:w="7938" w:type="dxa"/>
            <w:tcBorders>
              <w:top w:val="single" w:sz="4" w:space="0" w:color="7F7F7F"/>
              <w:left w:val="nil"/>
              <w:bottom w:val="single" w:sz="4" w:space="0" w:color="auto"/>
              <w:right w:val="nil"/>
            </w:tcBorders>
            <w:vAlign w:val="center"/>
            <w:hideMark/>
          </w:tcPr>
          <w:p w:rsidR="00521AA8" w:rsidRPr="00F37642" w:rsidRDefault="00521AA8" w:rsidP="00DC1BF7">
            <w:pPr>
              <w:rPr>
                <w:rFonts w:cs="Arial"/>
                <w:color w:val="000000"/>
                <w:sz w:val="18"/>
                <w:szCs w:val="18"/>
                <w:lang w:val="es-MX"/>
              </w:rPr>
            </w:pPr>
            <w:r w:rsidRPr="00F37642">
              <w:rPr>
                <w:rFonts w:cs="Arial"/>
                <w:color w:val="000000"/>
                <w:sz w:val="18"/>
                <w:szCs w:val="18"/>
                <w:lang w:val="es-MX"/>
              </w:rPr>
              <w:t>2.1. Selección de los métodos de extracción.</w:t>
            </w:r>
          </w:p>
        </w:tc>
      </w:tr>
      <w:tr w:rsidR="00521AA8" w:rsidRPr="00505DCA" w:rsidTr="00DC1BF7">
        <w:trPr>
          <w:trHeight w:val="564"/>
        </w:trPr>
        <w:tc>
          <w:tcPr>
            <w:tcW w:w="1985" w:type="dxa"/>
            <w:vMerge/>
            <w:tcBorders>
              <w:top w:val="single" w:sz="4" w:space="0" w:color="7F7F7F"/>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7F7F7F"/>
              <w:left w:val="nil"/>
              <w:bottom w:val="single" w:sz="4" w:space="0" w:color="auto"/>
              <w:right w:val="nil"/>
            </w:tcBorders>
            <w:vAlign w:val="center"/>
          </w:tcPr>
          <w:p w:rsidR="00521AA8" w:rsidRPr="00F37642" w:rsidRDefault="00521AA8" w:rsidP="00DC1BF7">
            <w:pPr>
              <w:rPr>
                <w:rFonts w:cs="Arial"/>
                <w:color w:val="000000"/>
                <w:sz w:val="18"/>
                <w:szCs w:val="18"/>
                <w:lang w:val="es-MX"/>
              </w:rPr>
            </w:pPr>
            <w:r w:rsidRPr="00F37642">
              <w:rPr>
                <w:rFonts w:cs="Arial"/>
                <w:color w:val="000000"/>
                <w:sz w:val="18"/>
                <w:szCs w:val="18"/>
                <w:lang w:val="es-MX"/>
              </w:rPr>
              <w:t>2.2. Aplicación de los métodos de extracción por Componentes Principales y Máxima Verosimilitud (maximum likelihood).</w:t>
            </w:r>
          </w:p>
        </w:tc>
      </w:tr>
      <w:tr w:rsidR="00521AA8" w:rsidRPr="00505DCA" w:rsidTr="00DC1BF7">
        <w:trPr>
          <w:trHeight w:val="285"/>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rPr>
                <w:rFonts w:cs="Arial"/>
                <w:sz w:val="18"/>
                <w:szCs w:val="18"/>
                <w:lang w:val="es-MX"/>
              </w:rPr>
            </w:pPr>
            <w:r w:rsidRPr="00F37642">
              <w:rPr>
                <w:rFonts w:cs="Arial"/>
                <w:sz w:val="18"/>
                <w:szCs w:val="18"/>
                <w:lang w:val="es-MX"/>
              </w:rPr>
              <w:t>2.3. Definición teórica del número de factores a extraer.</w:t>
            </w:r>
          </w:p>
        </w:tc>
      </w:tr>
      <w:tr w:rsidR="00521AA8" w:rsidRPr="00505DCA" w:rsidTr="00DC1BF7">
        <w:trPr>
          <w:trHeight w:val="543"/>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rPr>
                <w:rFonts w:cs="Arial"/>
                <w:sz w:val="18"/>
                <w:szCs w:val="18"/>
                <w:lang w:val="es-MX"/>
              </w:rPr>
            </w:pPr>
            <w:r w:rsidRPr="00F37642">
              <w:rPr>
                <w:rFonts w:cs="Arial"/>
                <w:sz w:val="18"/>
                <w:szCs w:val="18"/>
                <w:lang w:val="es-MX"/>
              </w:rPr>
              <w:t xml:space="preserve">2.4. Definición </w:t>
            </w:r>
            <w:r>
              <w:rPr>
                <w:rFonts w:cs="Arial"/>
                <w:sz w:val="18"/>
                <w:szCs w:val="18"/>
                <w:lang w:val="es-MX"/>
              </w:rPr>
              <w:t xml:space="preserve">del modelo </w:t>
            </w:r>
            <w:r w:rsidRPr="00F37642">
              <w:rPr>
                <w:rFonts w:cs="Arial"/>
                <w:sz w:val="18"/>
                <w:szCs w:val="18"/>
                <w:lang w:val="es-MX"/>
              </w:rPr>
              <w:t>con</w:t>
            </w:r>
            <w:r>
              <w:rPr>
                <w:rFonts w:cs="Arial"/>
                <w:sz w:val="18"/>
                <w:szCs w:val="18"/>
                <w:lang w:val="es-MX"/>
              </w:rPr>
              <w:t xml:space="preserve"> base en</w:t>
            </w:r>
            <w:r w:rsidRPr="00F37642">
              <w:rPr>
                <w:rFonts w:cs="Arial"/>
                <w:sz w:val="18"/>
                <w:szCs w:val="18"/>
                <w:lang w:val="es-MX"/>
              </w:rPr>
              <w:t xml:space="preserve"> evidencia empírica utilizando el criterio de Kaiser, el % de varianza explicada y el gráfico de sedimentación (scree test).</w:t>
            </w:r>
          </w:p>
        </w:tc>
      </w:tr>
      <w:tr w:rsidR="00521AA8" w:rsidRPr="00505DCA" w:rsidTr="00DC1BF7">
        <w:trPr>
          <w:trHeight w:val="297"/>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rPr>
                <w:rFonts w:cs="Arial"/>
                <w:sz w:val="18"/>
                <w:szCs w:val="18"/>
                <w:lang w:val="es-MX"/>
              </w:rPr>
            </w:pPr>
            <w:r w:rsidRPr="00F37642">
              <w:rPr>
                <w:rFonts w:cs="Arial"/>
                <w:sz w:val="18"/>
                <w:szCs w:val="18"/>
                <w:lang w:val="es-MX"/>
              </w:rPr>
              <w:t>2.5. Selección del método de rotación de la matriz factorial.</w:t>
            </w:r>
          </w:p>
        </w:tc>
      </w:tr>
      <w:tr w:rsidR="00521AA8" w:rsidRPr="00505DCA" w:rsidTr="00DC1BF7">
        <w:trPr>
          <w:trHeight w:val="555"/>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rPr>
                <w:rFonts w:cs="Arial"/>
                <w:sz w:val="18"/>
                <w:szCs w:val="18"/>
                <w:lang w:val="es-MX"/>
              </w:rPr>
            </w:pPr>
            <w:r w:rsidRPr="00F37642">
              <w:rPr>
                <w:rFonts w:cs="Arial"/>
                <w:sz w:val="18"/>
                <w:szCs w:val="18"/>
                <w:lang w:val="es-MX"/>
              </w:rPr>
              <w:t>2.6. Aplicación de la rotación ortogonal y oblicua con los métodos VARIMAX y PROMAX respectivamente.</w:t>
            </w:r>
          </w:p>
        </w:tc>
      </w:tr>
      <w:tr w:rsidR="00521AA8" w:rsidRPr="00505DCA" w:rsidTr="00DC1BF7">
        <w:trPr>
          <w:trHeight w:val="231"/>
        </w:trPr>
        <w:tc>
          <w:tcPr>
            <w:tcW w:w="1985" w:type="dxa"/>
            <w:vMerge/>
            <w:tcBorders>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p>
        </w:tc>
        <w:tc>
          <w:tcPr>
            <w:tcW w:w="7938" w:type="dxa"/>
            <w:tcBorders>
              <w:top w:val="single" w:sz="4" w:space="0" w:color="auto"/>
              <w:left w:val="nil"/>
              <w:right w:val="nil"/>
            </w:tcBorders>
            <w:vAlign w:val="center"/>
          </w:tcPr>
          <w:p w:rsidR="00521AA8" w:rsidRPr="00F37642" w:rsidRDefault="00521AA8" w:rsidP="00DC1BF7">
            <w:pPr>
              <w:rPr>
                <w:rFonts w:cs="Arial"/>
                <w:sz w:val="18"/>
                <w:szCs w:val="18"/>
                <w:lang w:val="es-MX"/>
              </w:rPr>
            </w:pPr>
            <w:r w:rsidRPr="00F37642">
              <w:rPr>
                <w:rFonts w:cs="Arial"/>
                <w:sz w:val="18"/>
                <w:szCs w:val="18"/>
                <w:lang w:val="es-MX"/>
              </w:rPr>
              <w:t>2.7. Interpretación y denominación teórica de los factores</w:t>
            </w:r>
          </w:p>
        </w:tc>
      </w:tr>
      <w:tr w:rsidR="00521AA8" w:rsidRPr="00505DCA" w:rsidTr="00DC1BF7">
        <w:trPr>
          <w:trHeight w:val="277"/>
        </w:trPr>
        <w:tc>
          <w:tcPr>
            <w:tcW w:w="1985" w:type="dxa"/>
            <w:vMerge w:val="restart"/>
            <w:tcBorders>
              <w:top w:val="single" w:sz="4" w:space="0" w:color="7F7F7F"/>
              <w:left w:val="nil"/>
              <w:right w:val="nil"/>
            </w:tcBorders>
            <w:vAlign w:val="center"/>
            <w:hideMark/>
          </w:tcPr>
          <w:p w:rsidR="00521AA8" w:rsidRPr="00F37642" w:rsidRDefault="00521AA8" w:rsidP="00DC1BF7">
            <w:pPr>
              <w:pStyle w:val="NormalWeb"/>
              <w:spacing w:before="0" w:beforeAutospacing="0" w:after="0" w:afterAutospacing="0" w:line="256" w:lineRule="auto"/>
              <w:jc w:val="center"/>
              <w:rPr>
                <w:rFonts w:ascii="Arial" w:hAnsi="Arial" w:cs="Arial"/>
                <w:b/>
                <w:sz w:val="20"/>
                <w:szCs w:val="20"/>
                <w:lang w:val="es-MX"/>
              </w:rPr>
            </w:pPr>
            <w:r w:rsidRPr="00F37642">
              <w:rPr>
                <w:rFonts w:ascii="Arial" w:hAnsi="Arial" w:cs="Arial"/>
                <w:b/>
                <w:bCs/>
                <w:color w:val="000000"/>
                <w:sz w:val="20"/>
                <w:szCs w:val="20"/>
                <w:lang w:val="es-MX"/>
              </w:rPr>
              <w:t>III. Análisis Factorial Confirmatorio (AFC)</w:t>
            </w:r>
          </w:p>
        </w:tc>
        <w:tc>
          <w:tcPr>
            <w:tcW w:w="7938" w:type="dxa"/>
            <w:tcBorders>
              <w:top w:val="single" w:sz="4" w:space="0" w:color="auto"/>
              <w:left w:val="nil"/>
              <w:bottom w:val="single" w:sz="4" w:space="0" w:color="auto"/>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color w:val="000000"/>
                <w:sz w:val="18"/>
                <w:szCs w:val="18"/>
                <w:lang w:val="es-MX"/>
              </w:rPr>
            </w:pPr>
            <w:r w:rsidRPr="00F37642">
              <w:rPr>
                <w:rFonts w:ascii="Arial" w:hAnsi="Arial" w:cs="Arial"/>
                <w:color w:val="000000"/>
                <w:sz w:val="18"/>
                <w:szCs w:val="18"/>
                <w:lang w:val="es-MX"/>
              </w:rPr>
              <w:t>3.1. Definición gráfica del modelo factorial confirmatorio.</w:t>
            </w:r>
          </w:p>
        </w:tc>
      </w:tr>
      <w:tr w:rsidR="00521AA8" w:rsidRPr="00505DCA" w:rsidTr="00DC1BF7">
        <w:trPr>
          <w:trHeight w:val="319"/>
        </w:trPr>
        <w:tc>
          <w:tcPr>
            <w:tcW w:w="1985" w:type="dxa"/>
            <w:vMerge/>
            <w:tcBorders>
              <w:top w:val="single" w:sz="4" w:space="0" w:color="7F7F7F"/>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bCs/>
                <w:color w:val="000000"/>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pStyle w:val="NormalWeb"/>
              <w:spacing w:before="0" w:after="0" w:line="256" w:lineRule="auto"/>
              <w:rPr>
                <w:rFonts w:ascii="Arial" w:hAnsi="Arial" w:cs="Arial"/>
                <w:color w:val="000000"/>
                <w:sz w:val="18"/>
                <w:szCs w:val="18"/>
                <w:lang w:val="es-MX"/>
              </w:rPr>
            </w:pPr>
            <w:r w:rsidRPr="00F37642">
              <w:rPr>
                <w:rFonts w:ascii="Arial" w:hAnsi="Arial" w:cs="Arial"/>
                <w:sz w:val="18"/>
                <w:szCs w:val="18"/>
                <w:lang w:val="es-MX"/>
              </w:rPr>
              <w:t xml:space="preserve">3.2. </w:t>
            </w:r>
            <w:r w:rsidRPr="00F37642">
              <w:rPr>
                <w:rFonts w:ascii="Arial" w:hAnsi="Arial" w:cs="Arial"/>
                <w:color w:val="000000"/>
                <w:sz w:val="18"/>
                <w:szCs w:val="18"/>
                <w:lang w:val="es-MX"/>
              </w:rPr>
              <w:t xml:space="preserve">Formalización matemática e identificación del modelo factorial confirmatorio. </w:t>
            </w:r>
          </w:p>
        </w:tc>
      </w:tr>
      <w:tr w:rsidR="00521AA8" w:rsidRPr="00505DCA" w:rsidTr="00DC1BF7">
        <w:trPr>
          <w:trHeight w:val="322"/>
        </w:trPr>
        <w:tc>
          <w:tcPr>
            <w:tcW w:w="1985" w:type="dxa"/>
            <w:vMerge/>
            <w:tcBorders>
              <w:top w:val="single" w:sz="4" w:space="0" w:color="7F7F7F"/>
              <w:left w:val="nil"/>
              <w:right w:val="nil"/>
            </w:tcBorders>
            <w:vAlign w:val="center"/>
          </w:tcPr>
          <w:p w:rsidR="00521AA8" w:rsidRPr="00F37642" w:rsidRDefault="00521AA8" w:rsidP="00DC1BF7">
            <w:pPr>
              <w:pStyle w:val="NormalWeb"/>
              <w:spacing w:before="0" w:beforeAutospacing="0" w:after="0" w:afterAutospacing="0" w:line="256" w:lineRule="auto"/>
              <w:jc w:val="center"/>
              <w:rPr>
                <w:rFonts w:ascii="Arial" w:hAnsi="Arial" w:cs="Arial"/>
                <w:b/>
                <w:bCs/>
                <w:color w:val="000000"/>
                <w:sz w:val="20"/>
                <w:szCs w:val="20"/>
                <w:lang w:val="es-MX"/>
              </w:rPr>
            </w:pPr>
          </w:p>
        </w:tc>
        <w:tc>
          <w:tcPr>
            <w:tcW w:w="7938" w:type="dxa"/>
            <w:tcBorders>
              <w:top w:val="single" w:sz="4" w:space="0" w:color="auto"/>
              <w:left w:val="nil"/>
              <w:bottom w:val="single" w:sz="4" w:space="0" w:color="7F7F7F"/>
              <w:right w:val="nil"/>
            </w:tcBorders>
            <w:vAlign w:val="center"/>
          </w:tcPr>
          <w:p w:rsidR="00521AA8" w:rsidRPr="00F37642" w:rsidRDefault="00521AA8" w:rsidP="00DC1BF7">
            <w:pPr>
              <w:pStyle w:val="NormalWeb"/>
              <w:spacing w:before="0" w:after="0" w:line="256" w:lineRule="auto"/>
              <w:rPr>
                <w:rFonts w:ascii="Arial" w:hAnsi="Arial" w:cs="Arial"/>
                <w:color w:val="000000"/>
                <w:sz w:val="18"/>
                <w:szCs w:val="18"/>
                <w:lang w:val="es-MX"/>
              </w:rPr>
            </w:pPr>
            <w:r w:rsidRPr="00F37642">
              <w:rPr>
                <w:rFonts w:ascii="Arial" w:hAnsi="Arial" w:cs="Arial"/>
                <w:sz w:val="18"/>
                <w:szCs w:val="18"/>
                <w:lang w:val="es-MX"/>
              </w:rPr>
              <w:t xml:space="preserve">3.3. </w:t>
            </w:r>
            <w:r w:rsidRPr="00F37642">
              <w:rPr>
                <w:rFonts w:ascii="Arial" w:hAnsi="Arial" w:cs="Arial"/>
                <w:color w:val="000000"/>
                <w:sz w:val="18"/>
                <w:szCs w:val="18"/>
                <w:lang w:val="es-MX"/>
              </w:rPr>
              <w:t>Estimación del modelo factorial confirmatorio definido.</w:t>
            </w:r>
          </w:p>
        </w:tc>
      </w:tr>
      <w:tr w:rsidR="00521AA8" w:rsidRPr="00505DCA" w:rsidTr="00DC1BF7">
        <w:trPr>
          <w:trHeight w:val="282"/>
        </w:trPr>
        <w:tc>
          <w:tcPr>
            <w:tcW w:w="1985" w:type="dxa"/>
            <w:vMerge/>
            <w:tcBorders>
              <w:left w:val="nil"/>
              <w:right w:val="nil"/>
            </w:tcBorders>
            <w:vAlign w:val="center"/>
            <w:hideMark/>
          </w:tcPr>
          <w:p w:rsidR="00521AA8" w:rsidRPr="00F37642" w:rsidRDefault="00521AA8" w:rsidP="00DC1BF7">
            <w:pPr>
              <w:jc w:val="center"/>
              <w:rPr>
                <w:rFonts w:eastAsia="Times New Roman" w:cs="Arial"/>
                <w:b/>
                <w:sz w:val="20"/>
                <w:szCs w:val="20"/>
                <w:lang w:val="es-MX"/>
              </w:rPr>
            </w:pPr>
          </w:p>
        </w:tc>
        <w:tc>
          <w:tcPr>
            <w:tcW w:w="7938" w:type="dxa"/>
            <w:tcBorders>
              <w:top w:val="single" w:sz="4" w:space="0" w:color="7F7F7F"/>
              <w:left w:val="nil"/>
              <w:bottom w:val="single" w:sz="4" w:space="0" w:color="7F7F7F"/>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sz w:val="18"/>
                <w:szCs w:val="18"/>
                <w:lang w:val="es-MX"/>
              </w:rPr>
            </w:pPr>
            <w:r w:rsidRPr="00F37642">
              <w:rPr>
                <w:rFonts w:ascii="Arial" w:hAnsi="Arial" w:cs="Arial"/>
                <w:color w:val="000000"/>
                <w:sz w:val="18"/>
                <w:szCs w:val="18"/>
                <w:lang w:val="es-MX"/>
              </w:rPr>
              <w:t>3.4. Análisis del ajuste del modelo factorial confirmatorio estimado.</w:t>
            </w:r>
          </w:p>
        </w:tc>
      </w:tr>
      <w:tr w:rsidR="00521AA8" w:rsidRPr="00505DCA" w:rsidTr="00DC1BF7">
        <w:trPr>
          <w:trHeight w:val="512"/>
        </w:trPr>
        <w:tc>
          <w:tcPr>
            <w:tcW w:w="1985" w:type="dxa"/>
            <w:vMerge/>
            <w:tcBorders>
              <w:left w:val="nil"/>
              <w:right w:val="nil"/>
            </w:tcBorders>
            <w:vAlign w:val="center"/>
            <w:hideMark/>
          </w:tcPr>
          <w:p w:rsidR="00521AA8" w:rsidRPr="00F37642" w:rsidRDefault="00521AA8" w:rsidP="00DC1BF7">
            <w:pPr>
              <w:jc w:val="center"/>
              <w:rPr>
                <w:rFonts w:eastAsia="Times New Roman" w:cs="Arial"/>
                <w:b/>
                <w:sz w:val="20"/>
                <w:szCs w:val="20"/>
                <w:lang w:val="es-MX"/>
              </w:rPr>
            </w:pPr>
          </w:p>
        </w:tc>
        <w:tc>
          <w:tcPr>
            <w:tcW w:w="7938" w:type="dxa"/>
            <w:tcBorders>
              <w:top w:val="single" w:sz="4" w:space="0" w:color="7F7F7F"/>
              <w:left w:val="nil"/>
              <w:right w:val="nil"/>
            </w:tcBorders>
            <w:vAlign w:val="center"/>
            <w:hideMark/>
          </w:tcPr>
          <w:p w:rsidR="00521AA8" w:rsidRPr="00F37642" w:rsidRDefault="00521AA8" w:rsidP="00DC1BF7">
            <w:pPr>
              <w:pStyle w:val="NormalWeb"/>
              <w:spacing w:before="0" w:beforeAutospacing="0" w:after="0" w:afterAutospacing="0" w:line="256" w:lineRule="auto"/>
              <w:rPr>
                <w:rFonts w:ascii="Arial" w:hAnsi="Arial" w:cs="Arial"/>
                <w:sz w:val="18"/>
                <w:szCs w:val="18"/>
                <w:lang w:val="es-MX"/>
              </w:rPr>
            </w:pPr>
            <w:r w:rsidRPr="00F37642">
              <w:rPr>
                <w:rFonts w:ascii="Arial" w:hAnsi="Arial" w:cs="Arial"/>
                <w:color w:val="000000"/>
                <w:sz w:val="18"/>
                <w:szCs w:val="18"/>
                <w:lang w:val="es-MX"/>
              </w:rPr>
              <w:t>3.5. Interpretación y reespecificación, de ser necesario, del modelo factorial confirmatorio de origen.</w:t>
            </w:r>
          </w:p>
        </w:tc>
      </w:tr>
      <w:tr w:rsidR="00521AA8" w:rsidRPr="00505DCA" w:rsidTr="00DC1BF7">
        <w:trPr>
          <w:trHeight w:val="337"/>
        </w:trPr>
        <w:tc>
          <w:tcPr>
            <w:tcW w:w="1985" w:type="dxa"/>
            <w:vMerge w:val="restart"/>
            <w:tcBorders>
              <w:top w:val="single" w:sz="4" w:space="0" w:color="7F7F7F"/>
              <w:left w:val="nil"/>
              <w:bottom w:val="single" w:sz="4" w:space="0" w:color="auto"/>
              <w:right w:val="nil"/>
            </w:tcBorders>
            <w:tcMar>
              <w:top w:w="15" w:type="dxa"/>
              <w:left w:w="15" w:type="dxa"/>
              <w:bottom w:w="15" w:type="dxa"/>
              <w:right w:w="15" w:type="dxa"/>
            </w:tcMar>
            <w:vAlign w:val="center"/>
            <w:hideMark/>
          </w:tcPr>
          <w:p w:rsidR="00521AA8" w:rsidRPr="00F37642" w:rsidRDefault="00521AA8" w:rsidP="00DC1BF7">
            <w:pPr>
              <w:jc w:val="center"/>
              <w:rPr>
                <w:rFonts w:cs="Arial"/>
                <w:b/>
                <w:sz w:val="20"/>
                <w:szCs w:val="20"/>
                <w:lang w:val="es-MX"/>
              </w:rPr>
            </w:pPr>
            <w:r w:rsidRPr="00F37642">
              <w:rPr>
                <w:rFonts w:cs="Arial"/>
                <w:b/>
                <w:sz w:val="20"/>
                <w:szCs w:val="20"/>
                <w:lang w:val="es-MX"/>
              </w:rPr>
              <w:t>IV. Análisis de correlación concurrente y discriminante</w:t>
            </w:r>
          </w:p>
        </w:tc>
        <w:tc>
          <w:tcPr>
            <w:tcW w:w="7938" w:type="dxa"/>
            <w:tcBorders>
              <w:top w:val="single" w:sz="4" w:space="0" w:color="7F7F7F"/>
              <w:left w:val="nil"/>
              <w:bottom w:val="single" w:sz="4" w:space="0" w:color="auto"/>
              <w:right w:val="nil"/>
            </w:tcBorders>
            <w:vAlign w:val="center"/>
          </w:tcPr>
          <w:p w:rsidR="00521AA8" w:rsidRPr="00F37642" w:rsidRDefault="00521AA8" w:rsidP="00DC1BF7">
            <w:pPr>
              <w:pStyle w:val="NormalWeb"/>
              <w:spacing w:before="0" w:after="0" w:line="256" w:lineRule="auto"/>
              <w:rPr>
                <w:rFonts w:ascii="Arial" w:hAnsi="Arial" w:cs="Arial"/>
                <w:sz w:val="18"/>
                <w:szCs w:val="18"/>
                <w:lang w:val="es-MX"/>
              </w:rPr>
            </w:pPr>
            <w:r w:rsidRPr="00F37642">
              <w:rPr>
                <w:rFonts w:ascii="Arial" w:hAnsi="Arial" w:cs="Arial"/>
                <w:sz w:val="18"/>
                <w:szCs w:val="18"/>
                <w:lang w:val="es-MX"/>
              </w:rPr>
              <w:t>4.1. Análisis de correlación entre las Subescalas de la ERECVE</w:t>
            </w:r>
          </w:p>
        </w:tc>
      </w:tr>
      <w:tr w:rsidR="00521AA8" w:rsidRPr="00505DCA" w:rsidTr="00DC1BF7">
        <w:trPr>
          <w:trHeight w:val="823"/>
        </w:trPr>
        <w:tc>
          <w:tcPr>
            <w:tcW w:w="1985" w:type="dxa"/>
            <w:vMerge/>
            <w:tcBorders>
              <w:left w:val="nil"/>
              <w:bottom w:val="single" w:sz="4" w:space="0" w:color="auto"/>
              <w:right w:val="nil"/>
            </w:tcBorders>
            <w:tcMar>
              <w:top w:w="15" w:type="dxa"/>
              <w:left w:w="15" w:type="dxa"/>
              <w:bottom w:w="15" w:type="dxa"/>
              <w:right w:w="15" w:type="dxa"/>
            </w:tcMar>
            <w:vAlign w:val="center"/>
          </w:tcPr>
          <w:p w:rsidR="00521AA8" w:rsidRPr="00F37642" w:rsidRDefault="00521AA8" w:rsidP="00DC1BF7">
            <w:pPr>
              <w:jc w:val="center"/>
              <w:rPr>
                <w:rFonts w:cs="Arial"/>
                <w:sz w:val="20"/>
                <w:szCs w:val="20"/>
                <w:lang w:val="es-MX"/>
              </w:rPr>
            </w:pPr>
          </w:p>
        </w:tc>
        <w:tc>
          <w:tcPr>
            <w:tcW w:w="7938" w:type="dxa"/>
            <w:tcBorders>
              <w:top w:val="single" w:sz="4" w:space="0" w:color="auto"/>
              <w:left w:val="nil"/>
              <w:bottom w:val="single" w:sz="4" w:space="0" w:color="auto"/>
              <w:right w:val="nil"/>
            </w:tcBorders>
            <w:vAlign w:val="center"/>
          </w:tcPr>
          <w:p w:rsidR="00521AA8" w:rsidRPr="00F37642" w:rsidRDefault="00521AA8" w:rsidP="00DC1BF7">
            <w:pPr>
              <w:pStyle w:val="NormalWeb"/>
              <w:spacing w:before="0" w:beforeAutospacing="0" w:after="0" w:afterAutospacing="0" w:line="256" w:lineRule="auto"/>
              <w:rPr>
                <w:rFonts w:ascii="Arial" w:hAnsi="Arial" w:cs="Arial"/>
                <w:sz w:val="18"/>
                <w:szCs w:val="18"/>
                <w:lang w:val="es-MX"/>
              </w:rPr>
            </w:pPr>
            <w:r w:rsidRPr="00F37642">
              <w:rPr>
                <w:rFonts w:ascii="Arial" w:hAnsi="Arial" w:cs="Arial"/>
                <w:sz w:val="18"/>
                <w:szCs w:val="18"/>
                <w:lang w:val="es-MX"/>
              </w:rPr>
              <w:t>4.2. Análisis de correlación de las subescalas de la ERECVE con las subescalas de Violencia Intrafamiliar (SEVIN), Ambiente Escolar Violento (SAEV) Rol del Docente en el Ciclo de la Violencia Escolar (SRDCVE), y Rol del Director en el Clima Escolar (SRDCE</w:t>
            </w:r>
          </w:p>
        </w:tc>
      </w:tr>
    </w:tbl>
    <w:p w:rsidR="00521AA8" w:rsidRPr="00613E80" w:rsidRDefault="00521AA8" w:rsidP="00521AA8">
      <w:pPr>
        <w:pStyle w:val="NormalWeb"/>
        <w:spacing w:before="0" w:beforeAutospacing="0" w:after="200" w:afterAutospacing="0"/>
        <w:rPr>
          <w:rFonts w:ascii="Arial" w:hAnsi="Arial" w:cs="Arial"/>
          <w:color w:val="000000"/>
          <w:sz w:val="18"/>
          <w:szCs w:val="18"/>
          <w:lang w:val="es-MX"/>
        </w:rPr>
      </w:pPr>
      <w:r w:rsidRPr="00613E80">
        <w:rPr>
          <w:rFonts w:ascii="Arial" w:hAnsi="Arial" w:cs="Arial"/>
          <w:color w:val="000000"/>
          <w:sz w:val="18"/>
          <w:szCs w:val="18"/>
          <w:lang w:val="es-MX"/>
        </w:rPr>
        <w:t>Nota: Elaboración propia</w:t>
      </w:r>
    </w:p>
    <w:p w:rsidR="00521AA8" w:rsidRPr="00F37642" w:rsidRDefault="00521AA8" w:rsidP="00521AA8">
      <w:pPr>
        <w:pStyle w:val="ESubtitulo"/>
        <w:sectPr w:rsidR="00521AA8" w:rsidRPr="00F37642" w:rsidSect="00F37642">
          <w:headerReference w:type="default" r:id="rId7"/>
          <w:footerReference w:type="default" r:id="rId8"/>
          <w:pgSz w:w="12240" w:h="15840"/>
          <w:pgMar w:top="1418" w:right="900" w:bottom="1417" w:left="1418" w:header="708" w:footer="708" w:gutter="0"/>
          <w:cols w:space="708"/>
          <w:docGrid w:linePitch="360"/>
        </w:sectPr>
      </w:pPr>
    </w:p>
    <w:p w:rsidR="00521AA8" w:rsidRPr="00F37642" w:rsidRDefault="00521AA8" w:rsidP="00521AA8">
      <w:pPr>
        <w:pStyle w:val="FSubapartados"/>
      </w:pPr>
      <w:bookmarkStart w:id="6" w:name="_Toc3470237"/>
      <w:r w:rsidRPr="00F37642">
        <w:lastRenderedPageBreak/>
        <w:t xml:space="preserve">3.4.1. Etapa I. Análisis </w:t>
      </w:r>
      <w:r w:rsidRPr="0032625F">
        <w:t>preliminares</w:t>
      </w:r>
      <w:bookmarkEnd w:id="6"/>
    </w:p>
    <w:p w:rsidR="00521AA8" w:rsidRPr="00F37642" w:rsidRDefault="00521AA8" w:rsidP="00521AA8">
      <w:pPr>
        <w:pStyle w:val="AParrafos"/>
        <w:ind w:firstLine="0"/>
      </w:pPr>
      <w:r w:rsidRPr="00F37642">
        <w:t>La primera etapa del análisis preliminar de los datos se organiza en cuatro actividades: (1) eliminación de valores perdidos y datos erróneos, (2) análisis descriptivos del total de la escala, por sub-escala y por cada ítem, (3) análisis de normalidad, linealidad y multicolinealidad de las puntuaciones, y (4) análisis de discriminación y confiabilidad mediante los supuestos de la TCT. Durante la primera actividad se revisó la base de datos minuciosamente mediante un análisis descriptivo de los datos con el paquete estadístico IBM SPSS versión 21 para identificar todos aquellos casos con valores perdidos, incompletos o erróneos. Una vez identificados los casos con datos perdidos y erróneos se eliminaron de la base de datos para realizar los primeros análisis estadísticos descriptivos de la escala y sus ítems. En total se eliminaron 5 494 casos con datos perdidos, incompletos o erróneos quedando una base de datos de 10 367 casos.</w:t>
      </w:r>
    </w:p>
    <w:p w:rsidR="00521AA8" w:rsidRPr="00F37642" w:rsidRDefault="00521AA8" w:rsidP="00521AA8">
      <w:pPr>
        <w:pStyle w:val="AParrafos"/>
        <w:rPr>
          <w:highlight w:val="yellow"/>
        </w:rPr>
      </w:pPr>
      <w:r w:rsidRPr="00F37642">
        <w:t xml:space="preserve">Después de realizar los primeros datos descriptivos de la escala se procedió a lograr los supuestos de normalidad, linealidad y multicolinealidad de las puntuaciones requeridos para efectuar el AFE y el AFC según las recomendaciones de los especialistas en el campo (Bentler y Weeks, 1980; Bollen, 1989; Jöreskog y Sörbon, 1989). Para el análisis del supuesto de normalidad de las puntuaciones se consideraron las observaciones de distintos autores que señalan que el incumplimiento del mismo no trae consigo consecuencias estadísticamente signiﬁcativas debido a que las distribuciones asimétricas de las estimaciones obtenidas no alteran drásticamente los valores del índice de ajuste Root Mean Square Error (RMSEA) (Muthén &amp; Hofacker, 1988). Cabe señalar que el </w:t>
      </w:r>
      <w:r w:rsidRPr="00F37642">
        <w:lastRenderedPageBreak/>
        <w:t>incumplimiento del supuesto de normalidad es un evento que frecuentemente ocurre en el campo de las ciencias sociales (Holgado Tello, Chacón Moscoso, Barbero García, &amp; Vila Abad, 2010).</w:t>
      </w:r>
    </w:p>
    <w:p w:rsidR="00355F74" w:rsidRPr="00521AA8" w:rsidRDefault="00355F74">
      <w:pPr>
        <w:rPr>
          <w:lang w:val="es-MX"/>
        </w:rPr>
      </w:pPr>
    </w:p>
    <w:sectPr w:rsidR="00355F74" w:rsidRPr="00521A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33D" w:rsidRDefault="005C033D" w:rsidP="00521AA8">
      <w:r>
        <w:separator/>
      </w:r>
    </w:p>
  </w:endnote>
  <w:endnote w:type="continuationSeparator" w:id="0">
    <w:p w:rsidR="005C033D" w:rsidRDefault="005C033D" w:rsidP="0052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91F" w:rsidRDefault="005C033D" w:rsidP="00B06BD3">
    <w:pPr>
      <w:pStyle w:val="Piedepgina"/>
      <w:tabs>
        <w:tab w:val="left" w:pos="2497"/>
        <w:tab w:val="left" w:pos="5023"/>
        <w:tab w:val="center" w:pos="5263"/>
        <w:tab w:val="right" w:pos="9900"/>
      </w:tabs>
    </w:pPr>
    <w:r>
      <w:tab/>
    </w:r>
    <w:r>
      <w:tab/>
    </w:r>
    <w:r>
      <w:tab/>
    </w:r>
    <w:r>
      <w:tab/>
    </w:r>
    <w:r>
      <w:tab/>
    </w:r>
    <w:r>
      <w:tab/>
    </w:r>
    <w:r>
      <w:fldChar w:fldCharType="begin"/>
    </w:r>
    <w:r>
      <w:instrText xml:space="preserve"> PAGE   \* MERGEFORMAT </w:instrText>
    </w:r>
    <w:r>
      <w:fldChar w:fldCharType="separate"/>
    </w:r>
    <w:r w:rsidR="00521AA8">
      <w:rPr>
        <w:noProof/>
      </w:rPr>
      <w:t>3</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91F" w:rsidRDefault="005C033D" w:rsidP="00B06BD3">
    <w:pPr>
      <w:pStyle w:val="Piedepgina"/>
      <w:tabs>
        <w:tab w:val="left" w:pos="2497"/>
        <w:tab w:val="left" w:pos="5023"/>
        <w:tab w:val="center" w:pos="5263"/>
        <w:tab w:val="right" w:pos="9900"/>
      </w:tabs>
    </w:pPr>
    <w:r>
      <w:tab/>
    </w:r>
    <w:r>
      <w:tab/>
    </w:r>
    <w:r>
      <w:tab/>
    </w:r>
    <w:r>
      <w:tab/>
    </w:r>
    <w:r>
      <w:tab/>
    </w:r>
    <w:r>
      <w:tab/>
    </w:r>
    <w:r>
      <w:fldChar w:fldCharType="begin"/>
    </w:r>
    <w:r>
      <w:instrText xml:space="preserve"> PAGE   \* MERGEFORMAT </w:instrText>
    </w:r>
    <w:r>
      <w:fldChar w:fldCharType="separate"/>
    </w:r>
    <w:r w:rsidR="00521AA8">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33D" w:rsidRDefault="005C033D" w:rsidP="00521AA8">
      <w:r>
        <w:separator/>
      </w:r>
    </w:p>
  </w:footnote>
  <w:footnote w:type="continuationSeparator" w:id="0">
    <w:p w:rsidR="005C033D" w:rsidRDefault="005C033D" w:rsidP="00521A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91F" w:rsidRDefault="005C033D" w:rsidP="00E07884">
    <w:pPr>
      <w:pStyle w:val="Encabezado"/>
      <w:jc w:val="right"/>
    </w:pPr>
    <w:r>
      <w:rPr>
        <w:noProof/>
      </w:rPr>
      <mc:AlternateContent>
        <mc:Choice Requires="wps">
          <w:drawing>
            <wp:anchor distT="0" distB="0" distL="114300" distR="114300" simplePos="0" relativeHeight="251660288" behindDoc="0" locked="0" layoutInCell="1" allowOverlap="1" wp14:anchorId="089D0F60" wp14:editId="0C639DF6">
              <wp:simplePos x="0" y="0"/>
              <wp:positionH relativeFrom="margin">
                <wp:align>right</wp:align>
              </wp:positionH>
              <wp:positionV relativeFrom="paragraph">
                <wp:posOffset>273050</wp:posOffset>
              </wp:positionV>
              <wp:extent cx="6258296" cy="0"/>
              <wp:effectExtent l="0" t="19050" r="28575" b="19050"/>
              <wp:wrapNone/>
              <wp:docPr id="50" name="Conector recto 50"/>
              <wp:cNvGraphicFramePr/>
              <a:graphic xmlns:a="http://schemas.openxmlformats.org/drawingml/2006/main">
                <a:graphicData uri="http://schemas.microsoft.com/office/word/2010/wordprocessingShape">
                  <wps:wsp>
                    <wps:cNvCnPr/>
                    <wps:spPr>
                      <a:xfrm>
                        <a:off x="0" y="0"/>
                        <a:ext cx="6258296" cy="0"/>
                      </a:xfrm>
                      <a:prstGeom prst="line">
                        <a:avLst/>
                      </a:prstGeom>
                      <a:ln w="28575">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E9711" id="Conector recto 50"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1.6pt,21.5pt" to="934.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" strokecolor="#538135 [2409]" strokeweight="2.25pt">
              <v:stroke joinstyle="miter"/>
              <w10:wrap anchorx="margin"/>
            </v:line>
          </w:pict>
        </mc:Fallback>
      </mc:AlternateContent>
    </w:r>
    <w:r>
      <w:t>CAPÍTULO III</w:t>
    </w:r>
  </w:p>
  <w:p w:rsidR="00AD191F" w:rsidRPr="00E07884" w:rsidRDefault="005C033D" w:rsidP="00E0788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A8"/>
    <w:rsid w:val="00355F74"/>
    <w:rsid w:val="004D7904"/>
    <w:rsid w:val="00521AA8"/>
    <w:rsid w:val="005C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A3E9"/>
  <w15:chartTrackingRefBased/>
  <w15:docId w15:val="{58AA93AA-261F-4472-91C4-AC6F694C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 Normal"/>
    <w:qFormat/>
    <w:rsid w:val="00521AA8"/>
    <w:pPr>
      <w:spacing w:after="0" w:line="240" w:lineRule="auto"/>
    </w:pPr>
    <w:rPr>
      <w:rFonts w:ascii="Arial" w:hAnsi="Arial"/>
      <w:sz w:val="24"/>
    </w:rPr>
  </w:style>
  <w:style w:type="paragraph" w:styleId="Ttulo2">
    <w:name w:val="heading 2"/>
    <w:basedOn w:val="Normal"/>
    <w:next w:val="Normal"/>
    <w:link w:val="Ttulo2Car"/>
    <w:uiPriority w:val="9"/>
    <w:semiHidden/>
    <w:unhideWhenUsed/>
    <w:qFormat/>
    <w:rsid w:val="00521A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21AA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ndices">
    <w:name w:val="J) Índices"/>
    <w:basedOn w:val="Normal"/>
    <w:link w:val="JndicesCar"/>
    <w:autoRedefine/>
    <w:qFormat/>
    <w:rsid w:val="004D7904"/>
    <w:pPr>
      <w:tabs>
        <w:tab w:val="right" w:leader="dot" w:pos="8828"/>
      </w:tabs>
      <w:spacing w:before="120" w:after="120" w:line="360" w:lineRule="auto"/>
      <w:jc w:val="both"/>
    </w:pPr>
    <w:rPr>
      <w:rFonts w:eastAsia="Times New Roman" w:cs="Arial"/>
      <w:szCs w:val="24"/>
      <w:lang w:val="es-MX" w:eastAsia="es-MX"/>
    </w:rPr>
  </w:style>
  <w:style w:type="character" w:customStyle="1" w:styleId="JndicesCar">
    <w:name w:val="J) Índices Car"/>
    <w:basedOn w:val="Fuentedeprrafopredeter"/>
    <w:link w:val="Jndices"/>
    <w:rsid w:val="004D7904"/>
    <w:rPr>
      <w:rFonts w:ascii="Arial" w:eastAsia="Times New Roman" w:hAnsi="Arial" w:cs="Arial"/>
      <w:sz w:val="24"/>
      <w:szCs w:val="24"/>
      <w:lang w:val="es-MX" w:eastAsia="es-MX"/>
    </w:rPr>
  </w:style>
  <w:style w:type="paragraph" w:styleId="NormalWeb">
    <w:name w:val="Normal (Web)"/>
    <w:basedOn w:val="Normal"/>
    <w:uiPriority w:val="99"/>
    <w:unhideWhenUsed/>
    <w:rsid w:val="00521AA8"/>
    <w:pPr>
      <w:spacing w:before="100" w:beforeAutospacing="1" w:after="100" w:afterAutospacing="1"/>
    </w:pPr>
    <w:rPr>
      <w:rFonts w:ascii="Times New Roman" w:eastAsia="Times New Roman" w:hAnsi="Times New Roman" w:cs="Times New Roman"/>
      <w:szCs w:val="24"/>
    </w:rPr>
  </w:style>
  <w:style w:type="paragraph" w:customStyle="1" w:styleId="ESubtitulo">
    <w:name w:val="E)Subtitulo"/>
    <w:basedOn w:val="Ttulo2"/>
    <w:next w:val="AParrafos"/>
    <w:link w:val="ESubtituloCar"/>
    <w:qFormat/>
    <w:rsid w:val="00521AA8"/>
    <w:pPr>
      <w:spacing w:before="600" w:after="480" w:line="276" w:lineRule="auto"/>
      <w:jc w:val="both"/>
    </w:pPr>
    <w:rPr>
      <w:rFonts w:ascii="Arial" w:eastAsia="Times New Roman" w:hAnsi="Arial" w:cs="Arial"/>
      <w:b/>
      <w:bCs/>
      <w:color w:val="385623" w:themeColor="accent6" w:themeShade="80"/>
      <w:sz w:val="28"/>
      <w:szCs w:val="28"/>
      <w:lang w:val="es-MX"/>
    </w:rPr>
  </w:style>
  <w:style w:type="character" w:customStyle="1" w:styleId="ESubtituloCar">
    <w:name w:val="E)Subtitulo Car"/>
    <w:basedOn w:val="Fuentedeprrafopredeter"/>
    <w:link w:val="ESubtitulo"/>
    <w:rsid w:val="00521AA8"/>
    <w:rPr>
      <w:rFonts w:ascii="Arial" w:eastAsia="Times New Roman" w:hAnsi="Arial" w:cs="Arial"/>
      <w:b/>
      <w:bCs/>
      <w:color w:val="385623" w:themeColor="accent6" w:themeShade="80"/>
      <w:sz w:val="28"/>
      <w:szCs w:val="28"/>
      <w:lang w:val="es-MX"/>
    </w:rPr>
  </w:style>
  <w:style w:type="paragraph" w:customStyle="1" w:styleId="FSubapartados">
    <w:name w:val="F)Subapartados"/>
    <w:basedOn w:val="Ttulo3"/>
    <w:next w:val="AParrafos"/>
    <w:link w:val="FSubapartadosCar"/>
    <w:qFormat/>
    <w:rsid w:val="00521AA8"/>
    <w:pPr>
      <w:spacing w:before="360" w:after="480"/>
    </w:pPr>
    <w:rPr>
      <w:rFonts w:ascii="Arial" w:eastAsia="Times New Roman" w:hAnsi="Arial" w:cs="Arial"/>
      <w:b/>
      <w:color w:val="auto"/>
      <w:lang w:val="es-MX"/>
    </w:rPr>
  </w:style>
  <w:style w:type="character" w:customStyle="1" w:styleId="FSubapartadosCar">
    <w:name w:val="F)Subapartados Car"/>
    <w:basedOn w:val="Fuentedeprrafopredeter"/>
    <w:link w:val="FSubapartados"/>
    <w:rsid w:val="00521AA8"/>
    <w:rPr>
      <w:rFonts w:ascii="Arial" w:eastAsia="Times New Roman" w:hAnsi="Arial" w:cs="Arial"/>
      <w:b/>
      <w:sz w:val="24"/>
      <w:szCs w:val="24"/>
      <w:lang w:val="es-MX"/>
    </w:rPr>
  </w:style>
  <w:style w:type="paragraph" w:customStyle="1" w:styleId="CTtuloTabla">
    <w:name w:val="C)TítuloTabla"/>
    <w:basedOn w:val="Normal"/>
    <w:link w:val="CTtuloTablaCar"/>
    <w:qFormat/>
    <w:rsid w:val="00521AA8"/>
    <w:pPr>
      <w:spacing w:before="240" w:after="120"/>
      <w:jc w:val="center"/>
    </w:pPr>
  </w:style>
  <w:style w:type="character" w:customStyle="1" w:styleId="CTtuloTablaCar">
    <w:name w:val="C)TítuloTabla Car"/>
    <w:basedOn w:val="Fuentedeprrafopredeter"/>
    <w:link w:val="CTtuloTabla"/>
    <w:rsid w:val="00521AA8"/>
    <w:rPr>
      <w:rFonts w:ascii="Arial" w:hAnsi="Arial"/>
      <w:sz w:val="24"/>
    </w:rPr>
  </w:style>
  <w:style w:type="paragraph" w:customStyle="1" w:styleId="AParrafos">
    <w:name w:val="A)Parrafos"/>
    <w:basedOn w:val="Normal"/>
    <w:link w:val="AParrafosCar"/>
    <w:qFormat/>
    <w:rsid w:val="00521AA8"/>
    <w:pPr>
      <w:spacing w:line="480" w:lineRule="auto"/>
      <w:ind w:firstLine="709"/>
      <w:jc w:val="both"/>
    </w:pPr>
    <w:rPr>
      <w:rFonts w:eastAsia="Times New Roman" w:cs="Arial"/>
      <w:szCs w:val="24"/>
      <w:lang w:val="es-MX"/>
    </w:rPr>
  </w:style>
  <w:style w:type="character" w:customStyle="1" w:styleId="AParrafosCar">
    <w:name w:val="A)Parrafos Car"/>
    <w:basedOn w:val="Fuentedeprrafopredeter"/>
    <w:link w:val="AParrafos"/>
    <w:rsid w:val="00521AA8"/>
    <w:rPr>
      <w:rFonts w:ascii="Arial" w:eastAsia="Times New Roman" w:hAnsi="Arial" w:cs="Arial"/>
      <w:sz w:val="24"/>
      <w:szCs w:val="24"/>
      <w:lang w:val="es-MX"/>
    </w:rPr>
  </w:style>
  <w:style w:type="table" w:styleId="Tablaconcuadrcula">
    <w:name w:val="Table Grid"/>
    <w:basedOn w:val="Tablanormal"/>
    <w:uiPriority w:val="39"/>
    <w:rsid w:val="0052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521AA8"/>
    <w:pPr>
      <w:tabs>
        <w:tab w:val="center" w:pos="4320"/>
        <w:tab w:val="right" w:pos="8640"/>
      </w:tabs>
    </w:pPr>
    <w:rPr>
      <w:rFonts w:eastAsia="Times New Roman" w:cs="Times New Roman"/>
      <w:szCs w:val="24"/>
    </w:rPr>
  </w:style>
  <w:style w:type="character" w:customStyle="1" w:styleId="PiedepginaCar">
    <w:name w:val="Pie de página Car"/>
    <w:basedOn w:val="Fuentedeprrafopredeter"/>
    <w:link w:val="Piedepgina"/>
    <w:uiPriority w:val="99"/>
    <w:rsid w:val="00521AA8"/>
    <w:rPr>
      <w:rFonts w:ascii="Arial" w:eastAsia="Times New Roman" w:hAnsi="Arial" w:cs="Times New Roman"/>
      <w:sz w:val="24"/>
      <w:szCs w:val="24"/>
    </w:rPr>
  </w:style>
  <w:style w:type="paragraph" w:styleId="Encabezado">
    <w:name w:val="header"/>
    <w:basedOn w:val="Normal"/>
    <w:link w:val="EncabezadoCar"/>
    <w:uiPriority w:val="99"/>
    <w:unhideWhenUsed/>
    <w:rsid w:val="00521AA8"/>
    <w:pPr>
      <w:tabs>
        <w:tab w:val="center" w:pos="4419"/>
        <w:tab w:val="right" w:pos="8838"/>
      </w:tabs>
    </w:pPr>
  </w:style>
  <w:style w:type="character" w:customStyle="1" w:styleId="EncabezadoCar">
    <w:name w:val="Encabezado Car"/>
    <w:basedOn w:val="Fuentedeprrafopredeter"/>
    <w:link w:val="Encabezado"/>
    <w:uiPriority w:val="99"/>
    <w:rsid w:val="00521AA8"/>
    <w:rPr>
      <w:rFonts w:ascii="Arial" w:hAnsi="Arial"/>
      <w:sz w:val="24"/>
    </w:rPr>
  </w:style>
  <w:style w:type="character" w:customStyle="1" w:styleId="Ttulo2Car">
    <w:name w:val="Título 2 Car"/>
    <w:basedOn w:val="Fuentedeprrafopredeter"/>
    <w:link w:val="Ttulo2"/>
    <w:uiPriority w:val="9"/>
    <w:semiHidden/>
    <w:rsid w:val="00521AA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21A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1680</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Perez</dc:creator>
  <cp:keywords/>
  <dc:description/>
  <cp:lastModifiedBy>Juan Carlos Perez</cp:lastModifiedBy>
  <cp:revision>1</cp:revision>
  <dcterms:created xsi:type="dcterms:W3CDTF">2020-02-24T23:30:00Z</dcterms:created>
  <dcterms:modified xsi:type="dcterms:W3CDTF">2020-02-24T23:31:00Z</dcterms:modified>
</cp:coreProperties>
</file>