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ECE50" w14:textId="77777777" w:rsidR="009E4AA1" w:rsidRDefault="009E4AA1">
      <w:pPr>
        <w:spacing w:line="276" w:lineRule="auto"/>
        <w:jc w:val="center"/>
        <w:rPr>
          <w:b/>
          <w:sz w:val="44"/>
          <w:szCs w:val="44"/>
        </w:rPr>
      </w:pPr>
    </w:p>
    <w:p w14:paraId="097DB90B" w14:textId="77777777" w:rsidR="009E4AA1" w:rsidRDefault="005A671D">
      <w:pPr>
        <w:spacing w:line="276" w:lineRule="auto"/>
        <w:jc w:val="center"/>
        <w:rPr>
          <w:rFonts w:ascii="Arial" w:eastAsia="Arial" w:hAnsi="Arial" w:cs="Arial"/>
          <w:b/>
          <w:sz w:val="44"/>
          <w:szCs w:val="44"/>
          <w:highlight w:val="yellow"/>
        </w:rPr>
      </w:pPr>
      <w:r>
        <w:rPr>
          <w:rFonts w:ascii="Arial" w:eastAsia="Arial" w:hAnsi="Arial" w:cs="Arial"/>
          <w:b/>
          <w:sz w:val="44"/>
          <w:szCs w:val="44"/>
        </w:rPr>
        <w:t>Plan de Diseño, Desarrollo y Validación del Instrumento de valoración de conocimientos y aptitudes para aspirantes a docente en educación secundaria de la modalidad telesecundaria como parte del proceso de selección para la promoción horizontal.</w:t>
      </w:r>
    </w:p>
    <w:p w14:paraId="373096A4" w14:textId="77777777" w:rsidR="009E4AA1" w:rsidRDefault="009E4AA1">
      <w:pPr>
        <w:spacing w:line="276" w:lineRule="auto"/>
        <w:jc w:val="center"/>
        <w:rPr>
          <w:rFonts w:ascii="Arial" w:eastAsia="Arial" w:hAnsi="Arial" w:cs="Arial"/>
          <w:b/>
          <w:sz w:val="44"/>
          <w:szCs w:val="44"/>
          <w:highlight w:val="yellow"/>
        </w:rPr>
      </w:pPr>
    </w:p>
    <w:p w14:paraId="5E0FDB88" w14:textId="77777777" w:rsidR="009E4AA1" w:rsidRDefault="005A671D">
      <w:pPr>
        <w:spacing w:line="276" w:lineRule="auto"/>
        <w:jc w:val="center"/>
        <w:rPr>
          <w:rFonts w:ascii="Arial" w:eastAsia="Arial" w:hAnsi="Arial" w:cs="Arial"/>
          <w:sz w:val="44"/>
          <w:szCs w:val="44"/>
          <w:u w:val="single"/>
        </w:rPr>
      </w:pPr>
      <w:r>
        <w:rPr>
          <w:rFonts w:ascii="Arial" w:eastAsia="Arial" w:hAnsi="Arial" w:cs="Arial"/>
          <w:sz w:val="44"/>
          <w:szCs w:val="44"/>
          <w:u w:val="single"/>
        </w:rPr>
        <w:t>(Versión Preliminar)</w:t>
      </w:r>
    </w:p>
    <w:p w14:paraId="2165D4F6" w14:textId="77777777" w:rsidR="009E4AA1" w:rsidRDefault="009E4AA1">
      <w:pPr>
        <w:spacing w:line="276" w:lineRule="auto"/>
        <w:jc w:val="center"/>
        <w:rPr>
          <w:rFonts w:ascii="Arial" w:eastAsia="Arial" w:hAnsi="Arial" w:cs="Arial"/>
          <w:sz w:val="44"/>
          <w:szCs w:val="44"/>
          <w:u w:val="single"/>
        </w:rPr>
      </w:pPr>
    </w:p>
    <w:p w14:paraId="5C0612F9" w14:textId="6B3D4766" w:rsidR="009E4AA1" w:rsidRDefault="009E4AA1">
      <w:pPr>
        <w:spacing w:line="276" w:lineRule="auto"/>
        <w:jc w:val="center"/>
        <w:rPr>
          <w:rFonts w:ascii="Arial" w:eastAsia="Arial" w:hAnsi="Arial" w:cs="Arial"/>
          <w:b/>
          <w:sz w:val="24"/>
          <w:szCs w:val="24"/>
        </w:rPr>
      </w:pPr>
    </w:p>
    <w:p w14:paraId="28E903B3" w14:textId="0E3FB662" w:rsidR="00756575" w:rsidRDefault="00756575">
      <w:pPr>
        <w:spacing w:line="276" w:lineRule="auto"/>
        <w:jc w:val="center"/>
        <w:rPr>
          <w:rFonts w:ascii="Arial" w:eastAsia="Arial" w:hAnsi="Arial" w:cs="Arial"/>
          <w:b/>
          <w:sz w:val="24"/>
          <w:szCs w:val="24"/>
        </w:rPr>
      </w:pPr>
    </w:p>
    <w:p w14:paraId="3D448499" w14:textId="089FC7DD" w:rsidR="00756575" w:rsidRDefault="00756575">
      <w:pPr>
        <w:spacing w:line="276" w:lineRule="auto"/>
        <w:jc w:val="center"/>
        <w:rPr>
          <w:rFonts w:ascii="Arial" w:eastAsia="Arial" w:hAnsi="Arial" w:cs="Arial"/>
          <w:b/>
          <w:sz w:val="24"/>
          <w:szCs w:val="24"/>
        </w:rPr>
      </w:pPr>
    </w:p>
    <w:p w14:paraId="74C31A6F" w14:textId="7BDA1A84" w:rsidR="00756575" w:rsidRDefault="00756575">
      <w:pPr>
        <w:spacing w:line="276" w:lineRule="auto"/>
        <w:jc w:val="center"/>
        <w:rPr>
          <w:rFonts w:ascii="Arial" w:eastAsia="Arial" w:hAnsi="Arial" w:cs="Arial"/>
          <w:b/>
          <w:sz w:val="24"/>
          <w:szCs w:val="24"/>
        </w:rPr>
      </w:pPr>
    </w:p>
    <w:p w14:paraId="79384671" w14:textId="77777777" w:rsidR="00756575" w:rsidRDefault="00756575">
      <w:pPr>
        <w:spacing w:line="276" w:lineRule="auto"/>
        <w:jc w:val="center"/>
        <w:rPr>
          <w:rFonts w:ascii="Arial" w:eastAsia="Arial" w:hAnsi="Arial" w:cs="Arial"/>
          <w:b/>
          <w:sz w:val="24"/>
          <w:szCs w:val="24"/>
        </w:rPr>
      </w:pPr>
      <w:bookmarkStart w:id="0" w:name="_GoBack"/>
      <w:bookmarkEnd w:id="0"/>
    </w:p>
    <w:p w14:paraId="7012B4D2" w14:textId="77777777" w:rsidR="009E4AA1" w:rsidRDefault="009E4AA1">
      <w:pPr>
        <w:spacing w:line="276" w:lineRule="auto"/>
        <w:jc w:val="center"/>
        <w:rPr>
          <w:rFonts w:ascii="Arial" w:eastAsia="Arial" w:hAnsi="Arial" w:cs="Arial"/>
          <w:b/>
          <w:sz w:val="24"/>
          <w:szCs w:val="24"/>
        </w:rPr>
      </w:pPr>
    </w:p>
    <w:p w14:paraId="18AFC3D8" w14:textId="77777777" w:rsidR="009E4AA1" w:rsidRDefault="009E4AA1">
      <w:pPr>
        <w:spacing w:line="276" w:lineRule="auto"/>
        <w:jc w:val="center"/>
        <w:rPr>
          <w:rFonts w:ascii="Arial" w:eastAsia="Arial" w:hAnsi="Arial" w:cs="Arial"/>
          <w:b/>
          <w:sz w:val="24"/>
          <w:szCs w:val="24"/>
        </w:rPr>
      </w:pPr>
    </w:p>
    <w:p w14:paraId="29F8EA25" w14:textId="77777777" w:rsidR="009E4AA1" w:rsidRDefault="009E4AA1">
      <w:pPr>
        <w:spacing w:line="276" w:lineRule="auto"/>
        <w:jc w:val="center"/>
        <w:rPr>
          <w:rFonts w:ascii="Arial" w:eastAsia="Arial" w:hAnsi="Arial" w:cs="Arial"/>
          <w:b/>
          <w:sz w:val="24"/>
          <w:szCs w:val="24"/>
        </w:rPr>
      </w:pPr>
    </w:p>
    <w:p w14:paraId="4D3B5B84" w14:textId="77777777" w:rsidR="009E4AA1" w:rsidRDefault="009E4AA1">
      <w:pPr>
        <w:spacing w:line="276" w:lineRule="auto"/>
        <w:jc w:val="center"/>
        <w:rPr>
          <w:rFonts w:ascii="Arial" w:eastAsia="Arial" w:hAnsi="Arial" w:cs="Arial"/>
          <w:b/>
          <w:sz w:val="24"/>
          <w:szCs w:val="24"/>
        </w:rPr>
      </w:pPr>
    </w:p>
    <w:p w14:paraId="7932BB21" w14:textId="77777777" w:rsidR="009E4AA1" w:rsidRDefault="009E4AA1">
      <w:pPr>
        <w:spacing w:line="276" w:lineRule="auto"/>
        <w:jc w:val="center"/>
        <w:rPr>
          <w:rFonts w:ascii="Arial" w:eastAsia="Arial" w:hAnsi="Arial" w:cs="Arial"/>
          <w:b/>
          <w:sz w:val="24"/>
          <w:szCs w:val="24"/>
        </w:rPr>
      </w:pPr>
    </w:p>
    <w:p w14:paraId="2A41DB93" w14:textId="77777777" w:rsidR="009E4AA1" w:rsidRDefault="009E4AA1">
      <w:pPr>
        <w:spacing w:line="276" w:lineRule="auto"/>
        <w:jc w:val="center"/>
        <w:rPr>
          <w:rFonts w:ascii="Arial" w:eastAsia="Arial" w:hAnsi="Arial" w:cs="Arial"/>
          <w:b/>
          <w:sz w:val="24"/>
          <w:szCs w:val="24"/>
        </w:rPr>
      </w:pPr>
    </w:p>
    <w:p w14:paraId="3B91502C" w14:textId="77777777" w:rsidR="009E4AA1" w:rsidRDefault="009E4AA1">
      <w:pPr>
        <w:spacing w:line="276" w:lineRule="auto"/>
        <w:jc w:val="center"/>
        <w:rPr>
          <w:rFonts w:ascii="Arial" w:eastAsia="Arial" w:hAnsi="Arial" w:cs="Arial"/>
          <w:b/>
          <w:sz w:val="24"/>
          <w:szCs w:val="24"/>
        </w:rPr>
      </w:pPr>
    </w:p>
    <w:p w14:paraId="50BD838C" w14:textId="5EA135C3" w:rsidR="009E4AA1" w:rsidRDefault="005A671D">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Coyoacán, Ciudad de México a 4 de marzo de 2020</w:t>
      </w:r>
    </w:p>
    <w:p w14:paraId="6998680F" w14:textId="16DCE8B5" w:rsidR="00496D2B" w:rsidRDefault="00496D2B">
      <w:pPr>
        <w:widowControl w:val="0"/>
        <w:spacing w:after="0" w:line="240" w:lineRule="auto"/>
        <w:ind w:left="425" w:right="138"/>
        <w:rPr>
          <w:rFonts w:ascii="Arial" w:eastAsia="Arial" w:hAnsi="Arial" w:cs="Arial"/>
          <w:sz w:val="24"/>
          <w:szCs w:val="24"/>
        </w:rPr>
      </w:pPr>
    </w:p>
    <w:p w14:paraId="33D838C1" w14:textId="09060528" w:rsidR="00496D2B" w:rsidRDefault="00496D2B">
      <w:pPr>
        <w:widowControl w:val="0"/>
        <w:spacing w:after="0" w:line="240" w:lineRule="auto"/>
        <w:ind w:left="425" w:right="138"/>
        <w:rPr>
          <w:rFonts w:ascii="Arial" w:eastAsia="Arial" w:hAnsi="Arial" w:cs="Arial"/>
          <w:sz w:val="24"/>
          <w:szCs w:val="24"/>
        </w:rPr>
      </w:pPr>
    </w:p>
    <w:p w14:paraId="4700761F" w14:textId="77777777" w:rsidR="00496D2B" w:rsidRDefault="00496D2B">
      <w:pPr>
        <w:widowControl w:val="0"/>
        <w:spacing w:after="0" w:line="240" w:lineRule="auto"/>
        <w:ind w:left="425" w:right="138"/>
        <w:rPr>
          <w:rFonts w:ascii="Arial" w:eastAsia="Arial" w:hAnsi="Arial" w:cs="Arial"/>
          <w:sz w:val="24"/>
          <w:szCs w:val="24"/>
        </w:rPr>
      </w:pPr>
    </w:p>
    <w:p w14:paraId="116C6A5A" w14:textId="77777777" w:rsidR="009E4AA1" w:rsidRDefault="005A671D">
      <w:pPr>
        <w:spacing w:line="276" w:lineRule="auto"/>
        <w:rPr>
          <w:rFonts w:ascii="Arial" w:eastAsia="Arial" w:hAnsi="Arial" w:cs="Arial"/>
          <w:b/>
          <w:sz w:val="24"/>
          <w:szCs w:val="24"/>
        </w:rPr>
      </w:pPr>
      <w:r>
        <w:rPr>
          <w:rFonts w:ascii="Arial" w:eastAsia="Arial" w:hAnsi="Arial" w:cs="Arial"/>
          <w:b/>
          <w:sz w:val="24"/>
          <w:szCs w:val="24"/>
        </w:rPr>
        <w:t>Índice de contenidos</w:t>
      </w:r>
    </w:p>
    <w:p w14:paraId="0738C608" w14:textId="77777777" w:rsidR="009E4AA1" w:rsidRDefault="009E4AA1">
      <w:pPr>
        <w:spacing w:line="276" w:lineRule="auto"/>
        <w:rPr>
          <w:rFonts w:ascii="Arial" w:eastAsia="Arial" w:hAnsi="Arial" w:cs="Arial"/>
          <w:b/>
          <w:sz w:val="24"/>
          <w:szCs w:val="24"/>
        </w:rPr>
      </w:pPr>
    </w:p>
    <w:p w14:paraId="2811D163" w14:textId="77777777" w:rsidR="009E4AA1" w:rsidRDefault="005A671D">
      <w:pPr>
        <w:spacing w:line="276" w:lineRule="auto"/>
        <w:ind w:left="992"/>
        <w:rPr>
          <w:rFonts w:ascii="Arial" w:eastAsia="Arial" w:hAnsi="Arial" w:cs="Arial"/>
          <w:b/>
          <w:sz w:val="24"/>
          <w:szCs w:val="24"/>
        </w:rPr>
      </w:pPr>
      <w:r>
        <w:rPr>
          <w:rFonts w:ascii="Arial" w:eastAsia="Arial" w:hAnsi="Arial" w:cs="Arial"/>
          <w:b/>
          <w:sz w:val="24"/>
          <w:szCs w:val="24"/>
        </w:rPr>
        <w:t>Índice de contenidos</w:t>
      </w:r>
    </w:p>
    <w:p w14:paraId="4E9A8A72" w14:textId="77777777" w:rsidR="009E4AA1" w:rsidRDefault="005A671D">
      <w:pPr>
        <w:spacing w:line="276" w:lineRule="auto"/>
        <w:ind w:left="992"/>
        <w:rPr>
          <w:rFonts w:ascii="Arial" w:eastAsia="Arial" w:hAnsi="Arial" w:cs="Arial"/>
          <w:b/>
          <w:sz w:val="24"/>
          <w:szCs w:val="24"/>
        </w:rPr>
      </w:pPr>
      <w:r>
        <w:rPr>
          <w:rFonts w:ascii="Arial" w:eastAsia="Arial" w:hAnsi="Arial" w:cs="Arial"/>
          <w:b/>
          <w:sz w:val="24"/>
          <w:szCs w:val="24"/>
        </w:rPr>
        <w:t>Índice de figuras y tablas</w:t>
      </w:r>
    </w:p>
    <w:p w14:paraId="19BE1C32" w14:textId="77777777" w:rsidR="009E4AA1" w:rsidRDefault="005A671D">
      <w:pPr>
        <w:spacing w:line="276" w:lineRule="auto"/>
        <w:ind w:left="992"/>
        <w:rPr>
          <w:rFonts w:ascii="Arial" w:eastAsia="Arial" w:hAnsi="Arial" w:cs="Arial"/>
          <w:b/>
          <w:sz w:val="24"/>
          <w:szCs w:val="24"/>
        </w:rPr>
      </w:pPr>
      <w:r>
        <w:rPr>
          <w:rFonts w:ascii="Arial" w:eastAsia="Arial" w:hAnsi="Arial" w:cs="Arial"/>
          <w:b/>
          <w:sz w:val="24"/>
          <w:szCs w:val="24"/>
        </w:rPr>
        <w:t>Glosario, siglas y acrónimos</w:t>
      </w:r>
    </w:p>
    <w:p w14:paraId="2D4C6968" w14:textId="77777777" w:rsidR="009E4AA1" w:rsidRDefault="009E4AA1">
      <w:pPr>
        <w:spacing w:line="276" w:lineRule="auto"/>
        <w:ind w:left="1133"/>
        <w:rPr>
          <w:rFonts w:ascii="Arial" w:eastAsia="Arial" w:hAnsi="Arial" w:cs="Arial"/>
          <w:b/>
          <w:sz w:val="24"/>
          <w:szCs w:val="24"/>
        </w:rPr>
      </w:pPr>
    </w:p>
    <w:p w14:paraId="677479F2" w14:textId="77777777" w:rsidR="009E4AA1" w:rsidRDefault="005A671D">
      <w:pPr>
        <w:spacing w:line="276" w:lineRule="auto"/>
        <w:ind w:left="1700"/>
        <w:rPr>
          <w:rFonts w:ascii="Arial" w:eastAsia="Arial" w:hAnsi="Arial" w:cs="Arial"/>
          <w:b/>
          <w:sz w:val="24"/>
          <w:szCs w:val="24"/>
        </w:rPr>
      </w:pPr>
      <w:r>
        <w:rPr>
          <w:rFonts w:ascii="Arial" w:eastAsia="Arial" w:hAnsi="Arial" w:cs="Arial"/>
          <w:b/>
          <w:sz w:val="24"/>
          <w:szCs w:val="24"/>
        </w:rPr>
        <w:t>I. Introducción</w:t>
      </w:r>
    </w:p>
    <w:p w14:paraId="7A771778" w14:textId="77777777" w:rsidR="009E4AA1" w:rsidRDefault="009E4AA1">
      <w:pPr>
        <w:spacing w:line="276" w:lineRule="auto"/>
        <w:ind w:left="1700"/>
        <w:rPr>
          <w:rFonts w:ascii="Arial" w:eastAsia="Arial" w:hAnsi="Arial" w:cs="Arial"/>
          <w:b/>
          <w:sz w:val="24"/>
          <w:szCs w:val="24"/>
        </w:rPr>
      </w:pPr>
    </w:p>
    <w:p w14:paraId="45CC5FA3" w14:textId="77777777" w:rsidR="009E4AA1" w:rsidRDefault="005A671D">
      <w:pPr>
        <w:spacing w:line="276" w:lineRule="auto"/>
        <w:ind w:left="1700"/>
        <w:rPr>
          <w:rFonts w:ascii="Arial" w:eastAsia="Arial" w:hAnsi="Arial" w:cs="Arial"/>
          <w:b/>
          <w:sz w:val="24"/>
          <w:szCs w:val="24"/>
        </w:rPr>
      </w:pPr>
      <w:r>
        <w:rPr>
          <w:rFonts w:ascii="Arial" w:eastAsia="Arial" w:hAnsi="Arial" w:cs="Arial"/>
          <w:b/>
          <w:sz w:val="24"/>
          <w:szCs w:val="24"/>
        </w:rPr>
        <w:t>II. Marco metodológico</w:t>
      </w:r>
    </w:p>
    <w:p w14:paraId="4C7DD298" w14:textId="77777777" w:rsidR="009E4AA1" w:rsidRDefault="005A671D">
      <w:pPr>
        <w:spacing w:line="276" w:lineRule="auto"/>
        <w:ind w:left="2125"/>
        <w:rPr>
          <w:rFonts w:ascii="Arial" w:eastAsia="Arial" w:hAnsi="Arial" w:cs="Arial"/>
          <w:b/>
          <w:sz w:val="24"/>
          <w:szCs w:val="24"/>
        </w:rPr>
      </w:pPr>
      <w:r>
        <w:rPr>
          <w:rFonts w:ascii="Arial" w:eastAsia="Arial" w:hAnsi="Arial" w:cs="Arial"/>
          <w:b/>
          <w:sz w:val="24"/>
          <w:szCs w:val="24"/>
        </w:rPr>
        <w:t>2.1. Enfoque de apreciación</w:t>
      </w:r>
    </w:p>
    <w:p w14:paraId="1204FE05" w14:textId="77777777" w:rsidR="009E4AA1" w:rsidRDefault="005A671D">
      <w:pPr>
        <w:spacing w:line="276" w:lineRule="auto"/>
        <w:ind w:left="2125"/>
        <w:jc w:val="both"/>
        <w:rPr>
          <w:rFonts w:ascii="Arial" w:eastAsia="Arial" w:hAnsi="Arial" w:cs="Arial"/>
          <w:b/>
          <w:sz w:val="24"/>
          <w:szCs w:val="24"/>
        </w:rPr>
      </w:pPr>
      <w:bookmarkStart w:id="1" w:name="_heading=h.gjdgxs" w:colFirst="0" w:colLast="0"/>
      <w:bookmarkEnd w:id="1"/>
      <w:r>
        <w:rPr>
          <w:rFonts w:ascii="Arial" w:eastAsia="Arial" w:hAnsi="Arial" w:cs="Arial"/>
          <w:b/>
          <w:sz w:val="24"/>
          <w:szCs w:val="24"/>
        </w:rPr>
        <w:t xml:space="preserve">2.2. Modelo de diseño, desarrollo y validación del instrumento de apreciación </w:t>
      </w:r>
    </w:p>
    <w:p w14:paraId="6491AF66" w14:textId="77777777" w:rsidR="009E4AA1" w:rsidRDefault="005A671D">
      <w:pPr>
        <w:spacing w:line="276" w:lineRule="auto"/>
        <w:ind w:left="2834"/>
        <w:jc w:val="both"/>
        <w:rPr>
          <w:rFonts w:ascii="Arial" w:eastAsia="Arial" w:hAnsi="Arial" w:cs="Arial"/>
          <w:b/>
          <w:sz w:val="24"/>
          <w:szCs w:val="24"/>
        </w:rPr>
      </w:pPr>
      <w:r>
        <w:rPr>
          <w:rFonts w:ascii="Arial" w:eastAsia="Arial" w:hAnsi="Arial" w:cs="Arial"/>
          <w:b/>
          <w:sz w:val="24"/>
          <w:szCs w:val="24"/>
        </w:rPr>
        <w:t>2.2.1. Fase de diseño</w:t>
      </w:r>
    </w:p>
    <w:p w14:paraId="4402D4FD" w14:textId="77777777" w:rsidR="009E4AA1" w:rsidRDefault="005A671D">
      <w:pPr>
        <w:spacing w:line="276" w:lineRule="auto"/>
        <w:ind w:left="2834"/>
        <w:jc w:val="both"/>
        <w:rPr>
          <w:rFonts w:ascii="Arial" w:eastAsia="Arial" w:hAnsi="Arial" w:cs="Arial"/>
          <w:b/>
          <w:sz w:val="24"/>
          <w:szCs w:val="24"/>
        </w:rPr>
      </w:pPr>
      <w:r>
        <w:rPr>
          <w:rFonts w:ascii="Arial" w:eastAsia="Arial" w:hAnsi="Arial" w:cs="Arial"/>
          <w:b/>
          <w:sz w:val="24"/>
          <w:szCs w:val="24"/>
        </w:rPr>
        <w:t>2.2.2. Fase de desarrollo</w:t>
      </w:r>
    </w:p>
    <w:p w14:paraId="3BB1CE32" w14:textId="77777777" w:rsidR="009E4AA1" w:rsidRDefault="005A671D">
      <w:pPr>
        <w:spacing w:line="276" w:lineRule="auto"/>
        <w:ind w:left="2834"/>
        <w:jc w:val="both"/>
        <w:rPr>
          <w:rFonts w:ascii="Arial" w:eastAsia="Arial" w:hAnsi="Arial" w:cs="Arial"/>
          <w:b/>
          <w:sz w:val="24"/>
          <w:szCs w:val="24"/>
        </w:rPr>
      </w:pPr>
      <w:r>
        <w:rPr>
          <w:rFonts w:ascii="Arial" w:eastAsia="Arial" w:hAnsi="Arial" w:cs="Arial"/>
          <w:b/>
          <w:sz w:val="24"/>
          <w:szCs w:val="24"/>
        </w:rPr>
        <w:t>2.2.3 Fase de validación</w:t>
      </w:r>
    </w:p>
    <w:p w14:paraId="2F40174D" w14:textId="77777777" w:rsidR="009E4AA1" w:rsidRDefault="009E4AA1">
      <w:pPr>
        <w:ind w:left="1700"/>
        <w:rPr>
          <w:rFonts w:ascii="Arial" w:eastAsia="Arial" w:hAnsi="Arial" w:cs="Arial"/>
          <w:b/>
          <w:sz w:val="24"/>
          <w:szCs w:val="24"/>
        </w:rPr>
      </w:pPr>
    </w:p>
    <w:p w14:paraId="48CAB538" w14:textId="77777777" w:rsidR="009E4AA1" w:rsidRDefault="005A671D">
      <w:pPr>
        <w:ind w:left="1700"/>
        <w:rPr>
          <w:rFonts w:ascii="Arial" w:eastAsia="Arial" w:hAnsi="Arial" w:cs="Arial"/>
          <w:b/>
          <w:sz w:val="24"/>
          <w:szCs w:val="24"/>
        </w:rPr>
      </w:pPr>
      <w:r>
        <w:rPr>
          <w:rFonts w:ascii="Arial" w:eastAsia="Arial" w:hAnsi="Arial" w:cs="Arial"/>
          <w:b/>
          <w:sz w:val="24"/>
          <w:szCs w:val="24"/>
        </w:rPr>
        <w:t>III. Referencias</w:t>
      </w:r>
    </w:p>
    <w:p w14:paraId="239713CA" w14:textId="77777777" w:rsidR="009E4AA1" w:rsidRDefault="009E4AA1">
      <w:pPr>
        <w:ind w:left="1700"/>
        <w:rPr>
          <w:rFonts w:ascii="Arial" w:eastAsia="Arial" w:hAnsi="Arial" w:cs="Arial"/>
          <w:b/>
          <w:sz w:val="24"/>
          <w:szCs w:val="24"/>
        </w:rPr>
      </w:pPr>
    </w:p>
    <w:p w14:paraId="75DEFC2E" w14:textId="77777777" w:rsidR="009E4AA1" w:rsidRDefault="005A671D">
      <w:pPr>
        <w:ind w:left="1700"/>
        <w:rPr>
          <w:rFonts w:ascii="Arial" w:eastAsia="Arial" w:hAnsi="Arial" w:cs="Arial"/>
          <w:sz w:val="24"/>
          <w:szCs w:val="24"/>
        </w:rPr>
      </w:pPr>
      <w:r>
        <w:rPr>
          <w:rFonts w:ascii="Arial" w:eastAsia="Arial" w:hAnsi="Arial" w:cs="Arial"/>
          <w:b/>
          <w:sz w:val="24"/>
          <w:szCs w:val="24"/>
        </w:rPr>
        <w:t>IV. Anexos o apéndice</w:t>
      </w:r>
    </w:p>
    <w:p w14:paraId="067D5BB6" w14:textId="77777777" w:rsidR="009E4AA1" w:rsidRDefault="009E4AA1">
      <w:pPr>
        <w:spacing w:line="276" w:lineRule="auto"/>
        <w:ind w:left="425"/>
        <w:rPr>
          <w:rFonts w:ascii="Arial" w:eastAsia="Arial" w:hAnsi="Arial" w:cs="Arial"/>
          <w:sz w:val="24"/>
          <w:szCs w:val="24"/>
        </w:rPr>
      </w:pPr>
    </w:p>
    <w:p w14:paraId="12341748" w14:textId="77777777" w:rsidR="009E4AA1" w:rsidRDefault="009E4AA1">
      <w:pPr>
        <w:spacing w:line="276" w:lineRule="auto"/>
        <w:ind w:left="425"/>
        <w:rPr>
          <w:rFonts w:ascii="Arial" w:eastAsia="Arial" w:hAnsi="Arial" w:cs="Arial"/>
          <w:sz w:val="24"/>
          <w:szCs w:val="24"/>
        </w:rPr>
      </w:pPr>
    </w:p>
    <w:p w14:paraId="736DE78A" w14:textId="77777777" w:rsidR="009E4AA1" w:rsidRDefault="009E4AA1">
      <w:pPr>
        <w:spacing w:line="276" w:lineRule="auto"/>
        <w:ind w:left="425"/>
        <w:rPr>
          <w:rFonts w:ascii="Arial" w:eastAsia="Arial" w:hAnsi="Arial" w:cs="Arial"/>
          <w:sz w:val="24"/>
          <w:szCs w:val="24"/>
        </w:rPr>
      </w:pPr>
    </w:p>
    <w:p w14:paraId="5A5896C9" w14:textId="77C04BA4" w:rsidR="009E4AA1" w:rsidRDefault="009E4AA1">
      <w:pPr>
        <w:spacing w:line="276" w:lineRule="auto"/>
        <w:ind w:left="425"/>
        <w:rPr>
          <w:rFonts w:ascii="Arial" w:eastAsia="Arial" w:hAnsi="Arial" w:cs="Arial"/>
          <w:sz w:val="24"/>
          <w:szCs w:val="24"/>
        </w:rPr>
      </w:pPr>
    </w:p>
    <w:p w14:paraId="2722BE40" w14:textId="7AE977D6" w:rsidR="00496D2B" w:rsidRDefault="00496D2B">
      <w:pPr>
        <w:spacing w:line="276" w:lineRule="auto"/>
        <w:ind w:left="425"/>
        <w:rPr>
          <w:rFonts w:ascii="Arial" w:eastAsia="Arial" w:hAnsi="Arial" w:cs="Arial"/>
          <w:sz w:val="24"/>
          <w:szCs w:val="24"/>
        </w:rPr>
      </w:pPr>
    </w:p>
    <w:p w14:paraId="69A73DBB" w14:textId="77777777" w:rsidR="00496D2B" w:rsidRDefault="00496D2B">
      <w:pPr>
        <w:spacing w:line="276" w:lineRule="auto"/>
        <w:ind w:left="425"/>
        <w:rPr>
          <w:rFonts w:ascii="Arial" w:eastAsia="Arial" w:hAnsi="Arial" w:cs="Arial"/>
          <w:sz w:val="24"/>
          <w:szCs w:val="24"/>
        </w:rPr>
      </w:pPr>
    </w:p>
    <w:p w14:paraId="139D8E64" w14:textId="77777777" w:rsidR="009E4AA1" w:rsidRDefault="009E4AA1">
      <w:pPr>
        <w:spacing w:line="276" w:lineRule="auto"/>
        <w:ind w:left="425"/>
        <w:rPr>
          <w:rFonts w:ascii="Arial" w:eastAsia="Arial" w:hAnsi="Arial" w:cs="Arial"/>
          <w:sz w:val="24"/>
          <w:szCs w:val="24"/>
        </w:rPr>
      </w:pPr>
    </w:p>
    <w:p w14:paraId="1E6C3EFD" w14:textId="77777777" w:rsidR="009E4AA1" w:rsidRDefault="009E4AA1">
      <w:pPr>
        <w:spacing w:line="276" w:lineRule="auto"/>
        <w:ind w:left="425"/>
        <w:rPr>
          <w:rFonts w:ascii="Arial" w:eastAsia="Arial" w:hAnsi="Arial" w:cs="Arial"/>
          <w:sz w:val="24"/>
          <w:szCs w:val="24"/>
        </w:rPr>
      </w:pPr>
    </w:p>
    <w:p w14:paraId="39B92D47" w14:textId="77777777" w:rsidR="009E4AA1" w:rsidRDefault="009E4AA1">
      <w:pPr>
        <w:spacing w:line="276" w:lineRule="auto"/>
        <w:ind w:left="425"/>
        <w:rPr>
          <w:rFonts w:ascii="Arial" w:eastAsia="Arial" w:hAnsi="Arial" w:cs="Arial"/>
          <w:sz w:val="24"/>
          <w:szCs w:val="24"/>
        </w:rPr>
      </w:pPr>
    </w:p>
    <w:p w14:paraId="100ACD92" w14:textId="77777777" w:rsidR="009E4AA1" w:rsidRDefault="005A671D">
      <w:pPr>
        <w:spacing w:line="276" w:lineRule="auto"/>
        <w:rPr>
          <w:rFonts w:ascii="Arial" w:eastAsia="Arial" w:hAnsi="Arial" w:cs="Arial"/>
          <w:b/>
          <w:sz w:val="24"/>
          <w:szCs w:val="24"/>
        </w:rPr>
      </w:pPr>
      <w:r>
        <w:rPr>
          <w:rFonts w:ascii="Arial" w:eastAsia="Arial" w:hAnsi="Arial" w:cs="Arial"/>
          <w:b/>
          <w:sz w:val="24"/>
          <w:szCs w:val="24"/>
        </w:rPr>
        <w:t>Índice de figuras y tablas</w:t>
      </w:r>
    </w:p>
    <w:p w14:paraId="097D062D" w14:textId="77777777" w:rsidR="009E4AA1" w:rsidRDefault="009E4AA1">
      <w:pPr>
        <w:spacing w:line="276" w:lineRule="auto"/>
        <w:ind w:left="425"/>
        <w:rPr>
          <w:rFonts w:ascii="Arial" w:eastAsia="Arial" w:hAnsi="Arial" w:cs="Arial"/>
          <w:b/>
          <w:sz w:val="24"/>
          <w:szCs w:val="24"/>
        </w:rPr>
      </w:pPr>
    </w:p>
    <w:tbl>
      <w:tblPr>
        <w:tblStyle w:val="a7"/>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9E4AA1" w14:paraId="48C2EB4F"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1C629F4D" w14:textId="3794B670" w:rsidR="009E4AA1" w:rsidRDefault="005A671D">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Tabla 1.  Modelo de diseño, desarrollo y validación de Instrumento </w:t>
            </w:r>
            <w:r w:rsidR="00496D2B">
              <w:rPr>
                <w:rFonts w:ascii="Arial" w:eastAsia="Arial" w:hAnsi="Arial" w:cs="Arial"/>
                <w:sz w:val="24"/>
                <w:szCs w:val="24"/>
              </w:rPr>
              <w:t>de valoración</w:t>
            </w:r>
            <w:r>
              <w:rPr>
                <w:rFonts w:ascii="Arial" w:eastAsia="Arial" w:hAnsi="Arial" w:cs="Arial"/>
                <w:sz w:val="24"/>
                <w:szCs w:val="24"/>
              </w:rPr>
              <w:t xml:space="preserve"> de conocimientos y aptitudes docentes alineado a los Perfiles profesionales publicados en el Marco para la excelencia en la enseñanza y la gestión escolar en Educación Básica </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0E86143C" w14:textId="7EB6A913" w:rsidR="009E4AA1" w:rsidRDefault="00496D2B">
            <w:pPr>
              <w:widowControl w:val="0"/>
              <w:pBdr>
                <w:top w:val="nil"/>
                <w:left w:val="nil"/>
                <w:bottom w:val="nil"/>
                <w:right w:val="nil"/>
                <w:between w:val="nil"/>
              </w:pBdr>
              <w:spacing w:after="0" w:line="240" w:lineRule="auto"/>
              <w:jc w:val="right"/>
              <w:rPr>
                <w:rFonts w:ascii="Arial" w:eastAsia="Arial" w:hAnsi="Arial" w:cs="Arial"/>
                <w:sz w:val="24"/>
                <w:szCs w:val="24"/>
              </w:rPr>
            </w:pPr>
            <w:r>
              <w:rPr>
                <w:rFonts w:ascii="Arial" w:eastAsia="Arial" w:hAnsi="Arial" w:cs="Arial"/>
                <w:sz w:val="24"/>
                <w:szCs w:val="24"/>
              </w:rPr>
              <w:t>---------------- 9</w:t>
            </w:r>
          </w:p>
        </w:tc>
      </w:tr>
    </w:tbl>
    <w:p w14:paraId="78CA014C" w14:textId="77777777" w:rsidR="009E4AA1" w:rsidRDefault="009E4AA1">
      <w:pPr>
        <w:spacing w:line="276" w:lineRule="auto"/>
        <w:ind w:left="425"/>
        <w:rPr>
          <w:rFonts w:ascii="Arial" w:eastAsia="Arial" w:hAnsi="Arial" w:cs="Arial"/>
          <w:b/>
          <w:sz w:val="24"/>
          <w:szCs w:val="24"/>
        </w:rPr>
      </w:pPr>
    </w:p>
    <w:p w14:paraId="78A0CB60" w14:textId="77777777" w:rsidR="009E4AA1" w:rsidRDefault="009E4AA1">
      <w:pPr>
        <w:spacing w:line="276" w:lineRule="auto"/>
        <w:ind w:left="425"/>
        <w:rPr>
          <w:rFonts w:ascii="Arial" w:eastAsia="Arial" w:hAnsi="Arial" w:cs="Arial"/>
          <w:b/>
          <w:sz w:val="24"/>
          <w:szCs w:val="24"/>
        </w:rPr>
      </w:pPr>
    </w:p>
    <w:p w14:paraId="4BA70B00" w14:textId="77777777" w:rsidR="009E4AA1" w:rsidRDefault="009E4AA1">
      <w:pPr>
        <w:spacing w:line="276" w:lineRule="auto"/>
        <w:ind w:left="425"/>
        <w:rPr>
          <w:rFonts w:ascii="Arial" w:eastAsia="Arial" w:hAnsi="Arial" w:cs="Arial"/>
          <w:b/>
          <w:sz w:val="24"/>
          <w:szCs w:val="24"/>
        </w:rPr>
      </w:pPr>
    </w:p>
    <w:p w14:paraId="625DD2D8" w14:textId="77777777" w:rsidR="009E4AA1" w:rsidRDefault="009E4AA1">
      <w:pPr>
        <w:spacing w:line="276" w:lineRule="auto"/>
        <w:ind w:left="425"/>
        <w:rPr>
          <w:rFonts w:ascii="Arial" w:eastAsia="Arial" w:hAnsi="Arial" w:cs="Arial"/>
          <w:b/>
          <w:sz w:val="24"/>
          <w:szCs w:val="24"/>
        </w:rPr>
      </w:pPr>
    </w:p>
    <w:p w14:paraId="446E8C20" w14:textId="77777777" w:rsidR="009E4AA1" w:rsidRDefault="009E4AA1">
      <w:pPr>
        <w:spacing w:line="276" w:lineRule="auto"/>
        <w:ind w:left="425"/>
        <w:rPr>
          <w:rFonts w:ascii="Arial" w:eastAsia="Arial" w:hAnsi="Arial" w:cs="Arial"/>
          <w:b/>
          <w:sz w:val="24"/>
          <w:szCs w:val="24"/>
        </w:rPr>
      </w:pPr>
    </w:p>
    <w:p w14:paraId="6002716E" w14:textId="77777777" w:rsidR="009E4AA1" w:rsidRDefault="009E4AA1">
      <w:pPr>
        <w:spacing w:line="276" w:lineRule="auto"/>
        <w:ind w:left="425"/>
        <w:rPr>
          <w:rFonts w:ascii="Arial" w:eastAsia="Arial" w:hAnsi="Arial" w:cs="Arial"/>
          <w:b/>
          <w:sz w:val="24"/>
          <w:szCs w:val="24"/>
        </w:rPr>
      </w:pPr>
    </w:p>
    <w:p w14:paraId="58C65F94" w14:textId="77777777" w:rsidR="009E4AA1" w:rsidRDefault="009E4AA1">
      <w:pPr>
        <w:spacing w:line="276" w:lineRule="auto"/>
        <w:ind w:left="425"/>
        <w:rPr>
          <w:rFonts w:ascii="Arial" w:eastAsia="Arial" w:hAnsi="Arial" w:cs="Arial"/>
          <w:b/>
          <w:sz w:val="24"/>
          <w:szCs w:val="24"/>
        </w:rPr>
      </w:pPr>
    </w:p>
    <w:p w14:paraId="4D4D89B4" w14:textId="77777777" w:rsidR="009E4AA1" w:rsidRDefault="009E4AA1">
      <w:pPr>
        <w:spacing w:line="276" w:lineRule="auto"/>
        <w:ind w:left="425"/>
        <w:rPr>
          <w:rFonts w:ascii="Arial" w:eastAsia="Arial" w:hAnsi="Arial" w:cs="Arial"/>
          <w:b/>
          <w:sz w:val="24"/>
          <w:szCs w:val="24"/>
        </w:rPr>
      </w:pPr>
    </w:p>
    <w:p w14:paraId="32A8AF89" w14:textId="77777777" w:rsidR="009E4AA1" w:rsidRDefault="009E4AA1">
      <w:pPr>
        <w:spacing w:line="276" w:lineRule="auto"/>
        <w:ind w:left="425"/>
        <w:rPr>
          <w:rFonts w:ascii="Arial" w:eastAsia="Arial" w:hAnsi="Arial" w:cs="Arial"/>
          <w:b/>
          <w:sz w:val="24"/>
          <w:szCs w:val="24"/>
        </w:rPr>
      </w:pPr>
    </w:p>
    <w:p w14:paraId="0C62D8E3" w14:textId="77777777" w:rsidR="009E4AA1" w:rsidRDefault="009E4AA1">
      <w:pPr>
        <w:spacing w:line="276" w:lineRule="auto"/>
        <w:ind w:left="425"/>
        <w:rPr>
          <w:rFonts w:ascii="Arial" w:eastAsia="Arial" w:hAnsi="Arial" w:cs="Arial"/>
          <w:b/>
          <w:sz w:val="24"/>
          <w:szCs w:val="24"/>
        </w:rPr>
      </w:pPr>
    </w:p>
    <w:p w14:paraId="47274632" w14:textId="77777777" w:rsidR="009E4AA1" w:rsidRDefault="009E4AA1">
      <w:pPr>
        <w:spacing w:line="276" w:lineRule="auto"/>
        <w:ind w:left="425"/>
        <w:rPr>
          <w:rFonts w:ascii="Arial" w:eastAsia="Arial" w:hAnsi="Arial" w:cs="Arial"/>
          <w:b/>
          <w:sz w:val="24"/>
          <w:szCs w:val="24"/>
        </w:rPr>
      </w:pPr>
    </w:p>
    <w:p w14:paraId="48BCBBD0" w14:textId="77777777" w:rsidR="009E4AA1" w:rsidRDefault="009E4AA1">
      <w:pPr>
        <w:spacing w:line="276" w:lineRule="auto"/>
        <w:ind w:left="425"/>
        <w:rPr>
          <w:rFonts w:ascii="Arial" w:eastAsia="Arial" w:hAnsi="Arial" w:cs="Arial"/>
          <w:b/>
          <w:sz w:val="24"/>
          <w:szCs w:val="24"/>
        </w:rPr>
      </w:pPr>
    </w:p>
    <w:p w14:paraId="0B7DF7A1" w14:textId="77777777" w:rsidR="009E4AA1" w:rsidRDefault="009E4AA1">
      <w:pPr>
        <w:spacing w:line="276" w:lineRule="auto"/>
        <w:ind w:left="425"/>
        <w:rPr>
          <w:rFonts w:ascii="Arial" w:eastAsia="Arial" w:hAnsi="Arial" w:cs="Arial"/>
          <w:b/>
          <w:sz w:val="24"/>
          <w:szCs w:val="24"/>
        </w:rPr>
      </w:pPr>
    </w:p>
    <w:p w14:paraId="7A917F87" w14:textId="77777777" w:rsidR="009E4AA1" w:rsidRDefault="009E4AA1">
      <w:pPr>
        <w:spacing w:line="276" w:lineRule="auto"/>
        <w:ind w:left="425"/>
        <w:rPr>
          <w:rFonts w:ascii="Arial" w:eastAsia="Arial" w:hAnsi="Arial" w:cs="Arial"/>
          <w:b/>
          <w:sz w:val="24"/>
          <w:szCs w:val="24"/>
        </w:rPr>
      </w:pPr>
    </w:p>
    <w:p w14:paraId="3AD6460B" w14:textId="77777777" w:rsidR="009E4AA1" w:rsidRDefault="009E4AA1">
      <w:pPr>
        <w:spacing w:line="276" w:lineRule="auto"/>
        <w:ind w:left="425"/>
        <w:rPr>
          <w:rFonts w:ascii="Arial" w:eastAsia="Arial" w:hAnsi="Arial" w:cs="Arial"/>
          <w:b/>
          <w:sz w:val="24"/>
          <w:szCs w:val="24"/>
        </w:rPr>
      </w:pPr>
    </w:p>
    <w:p w14:paraId="4949F255" w14:textId="77777777" w:rsidR="009E4AA1" w:rsidRDefault="009E4AA1">
      <w:pPr>
        <w:spacing w:line="276" w:lineRule="auto"/>
        <w:ind w:left="425"/>
        <w:rPr>
          <w:rFonts w:ascii="Arial" w:eastAsia="Arial" w:hAnsi="Arial" w:cs="Arial"/>
          <w:b/>
          <w:sz w:val="24"/>
          <w:szCs w:val="24"/>
        </w:rPr>
      </w:pPr>
    </w:p>
    <w:p w14:paraId="34E274A8" w14:textId="77777777" w:rsidR="009E4AA1" w:rsidRDefault="009E4AA1">
      <w:pPr>
        <w:spacing w:line="276" w:lineRule="auto"/>
        <w:ind w:left="425"/>
        <w:rPr>
          <w:rFonts w:ascii="Arial" w:eastAsia="Arial" w:hAnsi="Arial" w:cs="Arial"/>
          <w:b/>
          <w:sz w:val="24"/>
          <w:szCs w:val="24"/>
        </w:rPr>
      </w:pPr>
    </w:p>
    <w:p w14:paraId="6EA21956" w14:textId="77777777" w:rsidR="009E4AA1" w:rsidRDefault="009E4AA1">
      <w:pPr>
        <w:spacing w:line="276" w:lineRule="auto"/>
        <w:ind w:left="425"/>
        <w:rPr>
          <w:rFonts w:ascii="Arial" w:eastAsia="Arial" w:hAnsi="Arial" w:cs="Arial"/>
          <w:b/>
          <w:sz w:val="24"/>
          <w:szCs w:val="24"/>
        </w:rPr>
      </w:pPr>
    </w:p>
    <w:p w14:paraId="5BB2DCF2" w14:textId="77777777" w:rsidR="009E4AA1" w:rsidRDefault="009E4AA1">
      <w:pPr>
        <w:spacing w:line="276" w:lineRule="auto"/>
        <w:ind w:left="425"/>
        <w:rPr>
          <w:rFonts w:ascii="Arial" w:eastAsia="Arial" w:hAnsi="Arial" w:cs="Arial"/>
          <w:b/>
          <w:sz w:val="24"/>
          <w:szCs w:val="24"/>
        </w:rPr>
      </w:pPr>
    </w:p>
    <w:p w14:paraId="77D30E8C" w14:textId="77777777" w:rsidR="009E4AA1" w:rsidRDefault="009E4AA1">
      <w:pPr>
        <w:spacing w:line="276" w:lineRule="auto"/>
        <w:ind w:left="425"/>
        <w:rPr>
          <w:rFonts w:ascii="Arial" w:eastAsia="Arial" w:hAnsi="Arial" w:cs="Arial"/>
          <w:b/>
          <w:sz w:val="24"/>
          <w:szCs w:val="24"/>
        </w:rPr>
      </w:pPr>
    </w:p>
    <w:p w14:paraId="76E1FA81" w14:textId="77777777" w:rsidR="009E4AA1" w:rsidRDefault="009E4AA1">
      <w:pPr>
        <w:spacing w:line="276" w:lineRule="auto"/>
        <w:ind w:left="425"/>
        <w:rPr>
          <w:rFonts w:ascii="Arial" w:eastAsia="Arial" w:hAnsi="Arial" w:cs="Arial"/>
          <w:b/>
          <w:sz w:val="24"/>
          <w:szCs w:val="24"/>
        </w:rPr>
      </w:pPr>
    </w:p>
    <w:p w14:paraId="56542B8F" w14:textId="77777777" w:rsidR="009E4AA1" w:rsidRDefault="009E4AA1">
      <w:pPr>
        <w:spacing w:line="276" w:lineRule="auto"/>
        <w:ind w:left="425"/>
        <w:rPr>
          <w:rFonts w:ascii="Arial" w:eastAsia="Arial" w:hAnsi="Arial" w:cs="Arial"/>
          <w:b/>
          <w:sz w:val="24"/>
          <w:szCs w:val="24"/>
        </w:rPr>
      </w:pPr>
    </w:p>
    <w:p w14:paraId="76180129" w14:textId="77777777" w:rsidR="009E4AA1" w:rsidRDefault="005A671D">
      <w:pPr>
        <w:spacing w:line="276" w:lineRule="auto"/>
        <w:jc w:val="both"/>
        <w:rPr>
          <w:rFonts w:ascii="Arial" w:eastAsia="Arial" w:hAnsi="Arial" w:cs="Arial"/>
          <w:b/>
          <w:sz w:val="24"/>
          <w:szCs w:val="24"/>
        </w:rPr>
      </w:pPr>
      <w:r>
        <w:rPr>
          <w:rFonts w:ascii="Arial" w:eastAsia="Arial" w:hAnsi="Arial" w:cs="Arial"/>
          <w:b/>
          <w:sz w:val="24"/>
          <w:szCs w:val="24"/>
        </w:rPr>
        <w:t>Glosario, siglas y acrónimos</w:t>
      </w:r>
    </w:p>
    <w:p w14:paraId="11F17789" w14:textId="77777777" w:rsidR="009E4AA1" w:rsidRDefault="005A671D">
      <w:pPr>
        <w:spacing w:line="276" w:lineRule="auto"/>
        <w:ind w:left="283"/>
        <w:jc w:val="both"/>
        <w:rPr>
          <w:rFonts w:ascii="Arial" w:eastAsia="Arial" w:hAnsi="Arial" w:cs="Arial"/>
          <w:sz w:val="20"/>
          <w:szCs w:val="20"/>
        </w:rPr>
      </w:pPr>
      <w:r>
        <w:rPr>
          <w:rFonts w:ascii="Arial" w:eastAsia="Arial" w:hAnsi="Arial" w:cs="Arial"/>
          <w:b/>
          <w:sz w:val="20"/>
          <w:szCs w:val="20"/>
        </w:rPr>
        <w:t>Desarrollo.</w:t>
      </w:r>
      <w:r>
        <w:rPr>
          <w:rFonts w:ascii="Arial" w:eastAsia="Arial" w:hAnsi="Arial" w:cs="Arial"/>
          <w:sz w:val="20"/>
          <w:szCs w:val="20"/>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77837D23" w14:textId="77777777" w:rsidR="009E4AA1" w:rsidRDefault="005A671D">
      <w:pPr>
        <w:spacing w:line="276" w:lineRule="auto"/>
        <w:ind w:left="283"/>
        <w:jc w:val="both"/>
        <w:rPr>
          <w:rFonts w:ascii="Arial" w:eastAsia="Arial" w:hAnsi="Arial" w:cs="Arial"/>
          <w:sz w:val="20"/>
          <w:szCs w:val="20"/>
        </w:rPr>
      </w:pPr>
      <w:r>
        <w:rPr>
          <w:rFonts w:ascii="Arial" w:eastAsia="Arial" w:hAnsi="Arial" w:cs="Arial"/>
          <w:b/>
          <w:sz w:val="20"/>
          <w:szCs w:val="20"/>
        </w:rPr>
        <w:t xml:space="preserve">Diseño. </w:t>
      </w:r>
      <w:r>
        <w:rPr>
          <w:rFonts w:ascii="Arial" w:eastAsia="Arial" w:hAnsi="Arial" w:cs="Arial"/>
          <w:sz w:val="20"/>
          <w:szCs w:val="20"/>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0A6494AA" w14:textId="77777777" w:rsidR="009E4AA1" w:rsidRDefault="005A671D">
      <w:pPr>
        <w:spacing w:line="276" w:lineRule="auto"/>
        <w:ind w:left="283"/>
        <w:jc w:val="both"/>
        <w:rPr>
          <w:rFonts w:ascii="Arial" w:eastAsia="Arial" w:hAnsi="Arial" w:cs="Arial"/>
          <w:sz w:val="20"/>
          <w:szCs w:val="20"/>
        </w:rPr>
      </w:pPr>
      <w:r>
        <w:rPr>
          <w:rFonts w:ascii="Arial" w:eastAsia="Arial" w:hAnsi="Arial" w:cs="Arial"/>
          <w:b/>
          <w:sz w:val="20"/>
          <w:szCs w:val="20"/>
        </w:rPr>
        <w:t>Estructura factorial</w:t>
      </w:r>
      <w:r>
        <w:rPr>
          <w:rFonts w:ascii="Arial" w:eastAsia="Arial" w:hAnsi="Arial" w:cs="Arial"/>
          <w:sz w:val="20"/>
          <w:szCs w:val="20"/>
        </w:rPr>
        <w:t>. Refiere a la estructura interna de todo instrumento de apreciación construído, en términos de la organización o agrupación de los distintos componentes o dimensiones medidas de acuerdo con el modelo sustantivo, a lo largo de los ítems componen al instrumento.</w:t>
      </w:r>
    </w:p>
    <w:p w14:paraId="4FA7F56E" w14:textId="77777777" w:rsidR="009E4AA1" w:rsidRDefault="005A671D">
      <w:pPr>
        <w:spacing w:line="276" w:lineRule="auto"/>
        <w:ind w:left="283"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797F5539" w14:textId="77777777" w:rsidR="009E4AA1" w:rsidRDefault="005A671D">
      <w:pPr>
        <w:spacing w:line="276" w:lineRule="auto"/>
        <w:ind w:left="283"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24F56ADD" w14:textId="77777777" w:rsidR="009E4AA1" w:rsidRDefault="005A671D">
      <w:pPr>
        <w:spacing w:line="276" w:lineRule="auto"/>
        <w:ind w:left="283"/>
        <w:jc w:val="both"/>
        <w:rPr>
          <w:rFonts w:ascii="Arial" w:eastAsia="Arial" w:hAnsi="Arial" w:cs="Arial"/>
          <w:sz w:val="20"/>
          <w:szCs w:val="20"/>
        </w:rPr>
      </w:pPr>
      <w:r>
        <w:rPr>
          <w:rFonts w:ascii="Arial" w:eastAsia="Arial" w:hAnsi="Arial" w:cs="Arial"/>
          <w:b/>
          <w:sz w:val="20"/>
          <w:szCs w:val="20"/>
        </w:rPr>
        <w:t xml:space="preserve">Modelo sustantivo. </w:t>
      </w:r>
      <w:r>
        <w:rPr>
          <w:rFonts w:ascii="Arial" w:eastAsia="Arial" w:hAnsi="Arial" w:cs="Arial"/>
          <w:sz w:val="20"/>
          <w:szCs w:val="20"/>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76115D33" w14:textId="77777777" w:rsidR="009E4AA1" w:rsidRDefault="005A671D">
      <w:pPr>
        <w:spacing w:line="276" w:lineRule="auto"/>
        <w:ind w:left="283"/>
        <w:jc w:val="both"/>
        <w:rPr>
          <w:rFonts w:ascii="Arial" w:eastAsia="Arial" w:hAnsi="Arial" w:cs="Arial"/>
          <w:sz w:val="20"/>
          <w:szCs w:val="20"/>
        </w:rPr>
      </w:pPr>
      <w:r>
        <w:rPr>
          <w:rFonts w:ascii="Arial" w:eastAsia="Arial" w:hAnsi="Arial" w:cs="Arial"/>
          <w:b/>
          <w:sz w:val="20"/>
          <w:szCs w:val="20"/>
        </w:rPr>
        <w:t xml:space="preserve">Marco metodológico. </w:t>
      </w:r>
      <w:r>
        <w:rPr>
          <w:rFonts w:ascii="Arial" w:eastAsia="Arial" w:hAnsi="Arial" w:cs="Arial"/>
          <w:sz w:val="20"/>
          <w:szCs w:val="20"/>
        </w:rPr>
        <w:t>En el caso particular de los instrumentos de apreciación del SISAP se tienen considerados tres grandes marcos metodológicos: los Modelos de Diagnóstico Cognitivo, la Teoría de Respuesta al Ítem y el Aprendizaje Profundo en Redes Neuronales.</w:t>
      </w:r>
    </w:p>
    <w:p w14:paraId="13316138" w14:textId="77777777" w:rsidR="009E4AA1" w:rsidRDefault="005A671D">
      <w:pPr>
        <w:spacing w:line="276" w:lineRule="auto"/>
        <w:ind w:left="283"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xml:space="preserve"> Documento elaborado por la Secretaría de Educación Pública para describir las características deseables en la figura docente, técnico docente, asesor técnico pedagógico, con funciones directivas o de supervisión.</w:t>
      </w:r>
    </w:p>
    <w:p w14:paraId="686B6633" w14:textId="77777777" w:rsidR="009E4AA1" w:rsidRDefault="005A671D">
      <w:pPr>
        <w:spacing w:line="276" w:lineRule="auto"/>
        <w:ind w:left="283"/>
        <w:jc w:val="both"/>
        <w:rPr>
          <w:rFonts w:ascii="Arial" w:eastAsia="Arial" w:hAnsi="Arial" w:cs="Arial"/>
          <w:sz w:val="20"/>
          <w:szCs w:val="20"/>
        </w:rPr>
      </w:pPr>
      <w:r>
        <w:rPr>
          <w:rFonts w:ascii="Arial" w:eastAsia="Arial" w:hAnsi="Arial" w:cs="Arial"/>
          <w:b/>
          <w:sz w:val="20"/>
          <w:szCs w:val="20"/>
        </w:rPr>
        <w:t>Piloteo.</w:t>
      </w:r>
      <w:r>
        <w:rPr>
          <w:rFonts w:ascii="Arial" w:eastAsia="Arial" w:hAnsi="Arial" w:cs="Arial"/>
          <w:sz w:val="20"/>
          <w:szCs w:val="20"/>
        </w:rPr>
        <w:t xml:space="preserve"> Aplicación del instrumento en desarrollo a una muestra de individuos que tienen las mismas características que la población objetivo</w:t>
      </w:r>
    </w:p>
    <w:p w14:paraId="7B3CAFF4" w14:textId="77777777" w:rsidR="009E4AA1" w:rsidRDefault="005A671D">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62372664" w14:textId="77777777" w:rsidR="009E4AA1" w:rsidRDefault="005A671D">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78C8A2D1" w14:textId="77777777" w:rsidR="009E4AA1" w:rsidRDefault="005A671D">
      <w:pPr>
        <w:spacing w:line="276" w:lineRule="auto"/>
        <w:ind w:left="283" w:right="138"/>
        <w:jc w:val="both"/>
        <w:rPr>
          <w:rFonts w:ascii="Arial" w:eastAsia="Arial" w:hAnsi="Arial" w:cs="Arial"/>
          <w:sz w:val="20"/>
          <w:szCs w:val="20"/>
        </w:rPr>
      </w:pPr>
      <w:r>
        <w:rPr>
          <w:rFonts w:ascii="Arial" w:eastAsia="Arial" w:hAnsi="Arial" w:cs="Arial"/>
          <w:b/>
          <w:sz w:val="20"/>
          <w:szCs w:val="20"/>
        </w:rPr>
        <w:lastRenderedPageBreak/>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441B199F" w14:textId="77777777" w:rsidR="009E4AA1" w:rsidRDefault="005A671D">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5EB2BF9A" w14:textId="77777777" w:rsidR="009E4AA1" w:rsidRDefault="005A671D">
      <w:pPr>
        <w:spacing w:line="276" w:lineRule="auto"/>
        <w:ind w:left="283"/>
        <w:jc w:val="both"/>
        <w:rPr>
          <w:rFonts w:ascii="Arial" w:eastAsia="Arial" w:hAnsi="Arial" w:cs="Arial"/>
          <w:b/>
          <w:sz w:val="20"/>
          <w:szCs w:val="20"/>
          <w:highlight w:val="yellow"/>
        </w:rPr>
      </w:pPr>
      <w:r>
        <w:rPr>
          <w:rFonts w:ascii="Arial" w:eastAsia="Arial" w:hAnsi="Arial" w:cs="Arial"/>
          <w:b/>
          <w:sz w:val="20"/>
          <w:szCs w:val="20"/>
        </w:rPr>
        <w:t xml:space="preserve">Validez. </w:t>
      </w:r>
      <w:r>
        <w:rPr>
          <w:rFonts w:ascii="Arial" w:eastAsia="Arial" w:hAnsi="Arial" w:cs="Arial"/>
          <w:sz w:val="20"/>
          <w:szCs w:val="20"/>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0A6D64CB" w14:textId="77777777" w:rsidR="009E4AA1" w:rsidRDefault="009E4AA1">
      <w:pPr>
        <w:spacing w:line="276" w:lineRule="auto"/>
        <w:ind w:left="283"/>
        <w:jc w:val="both"/>
        <w:rPr>
          <w:rFonts w:ascii="Arial" w:eastAsia="Arial" w:hAnsi="Arial" w:cs="Arial"/>
          <w:b/>
          <w:sz w:val="24"/>
          <w:szCs w:val="24"/>
        </w:rPr>
      </w:pPr>
    </w:p>
    <w:p w14:paraId="21C07E2A" w14:textId="77777777" w:rsidR="009E4AA1" w:rsidRDefault="009E4AA1">
      <w:pPr>
        <w:spacing w:line="276" w:lineRule="auto"/>
        <w:ind w:left="283"/>
        <w:jc w:val="both"/>
        <w:rPr>
          <w:rFonts w:ascii="Arial" w:eastAsia="Arial" w:hAnsi="Arial" w:cs="Arial"/>
          <w:b/>
          <w:sz w:val="20"/>
          <w:szCs w:val="20"/>
          <w:highlight w:val="yellow"/>
        </w:rPr>
      </w:pPr>
    </w:p>
    <w:p w14:paraId="70B4D07F" w14:textId="77777777" w:rsidR="009E4AA1" w:rsidRDefault="009E4AA1">
      <w:pPr>
        <w:spacing w:line="276" w:lineRule="auto"/>
        <w:ind w:left="425"/>
        <w:jc w:val="both"/>
        <w:rPr>
          <w:rFonts w:ascii="Arial" w:eastAsia="Arial" w:hAnsi="Arial" w:cs="Arial"/>
          <w:b/>
          <w:sz w:val="24"/>
          <w:szCs w:val="24"/>
        </w:rPr>
      </w:pPr>
    </w:p>
    <w:p w14:paraId="63AF7DAA" w14:textId="77777777" w:rsidR="009E4AA1" w:rsidRDefault="009E4AA1">
      <w:pPr>
        <w:spacing w:line="276" w:lineRule="auto"/>
        <w:ind w:left="425"/>
        <w:jc w:val="both"/>
        <w:rPr>
          <w:rFonts w:ascii="Arial" w:eastAsia="Arial" w:hAnsi="Arial" w:cs="Arial"/>
          <w:b/>
          <w:sz w:val="24"/>
          <w:szCs w:val="24"/>
        </w:rPr>
      </w:pPr>
    </w:p>
    <w:p w14:paraId="5E74C164" w14:textId="77777777" w:rsidR="009E4AA1" w:rsidRDefault="009E4AA1">
      <w:pPr>
        <w:spacing w:line="276" w:lineRule="auto"/>
        <w:ind w:left="425"/>
        <w:jc w:val="both"/>
        <w:rPr>
          <w:rFonts w:ascii="Arial" w:eastAsia="Arial" w:hAnsi="Arial" w:cs="Arial"/>
          <w:b/>
          <w:sz w:val="24"/>
          <w:szCs w:val="24"/>
        </w:rPr>
      </w:pPr>
    </w:p>
    <w:p w14:paraId="402C02FA" w14:textId="77777777" w:rsidR="009E4AA1" w:rsidRDefault="009E4AA1">
      <w:pPr>
        <w:spacing w:line="276" w:lineRule="auto"/>
        <w:ind w:left="425"/>
        <w:jc w:val="both"/>
        <w:rPr>
          <w:rFonts w:ascii="Arial" w:eastAsia="Arial" w:hAnsi="Arial" w:cs="Arial"/>
          <w:b/>
          <w:sz w:val="24"/>
          <w:szCs w:val="24"/>
        </w:rPr>
      </w:pPr>
    </w:p>
    <w:p w14:paraId="737B0F01" w14:textId="77777777" w:rsidR="009E4AA1" w:rsidRDefault="009E4AA1">
      <w:pPr>
        <w:spacing w:line="276" w:lineRule="auto"/>
        <w:ind w:left="425"/>
        <w:jc w:val="both"/>
        <w:rPr>
          <w:rFonts w:ascii="Arial" w:eastAsia="Arial" w:hAnsi="Arial" w:cs="Arial"/>
          <w:b/>
          <w:sz w:val="24"/>
          <w:szCs w:val="24"/>
        </w:rPr>
      </w:pPr>
    </w:p>
    <w:p w14:paraId="52FB7F91" w14:textId="5F27BAE8" w:rsidR="009E4AA1" w:rsidRDefault="009E4AA1">
      <w:pPr>
        <w:spacing w:line="276" w:lineRule="auto"/>
        <w:ind w:left="425"/>
        <w:jc w:val="both"/>
        <w:rPr>
          <w:rFonts w:ascii="Arial" w:eastAsia="Arial" w:hAnsi="Arial" w:cs="Arial"/>
          <w:b/>
          <w:sz w:val="24"/>
          <w:szCs w:val="24"/>
        </w:rPr>
      </w:pPr>
    </w:p>
    <w:p w14:paraId="123A366B" w14:textId="5E465C12" w:rsidR="00496D2B" w:rsidRDefault="00496D2B">
      <w:pPr>
        <w:spacing w:line="276" w:lineRule="auto"/>
        <w:ind w:left="425"/>
        <w:jc w:val="both"/>
        <w:rPr>
          <w:rFonts w:ascii="Arial" w:eastAsia="Arial" w:hAnsi="Arial" w:cs="Arial"/>
          <w:b/>
          <w:sz w:val="24"/>
          <w:szCs w:val="24"/>
        </w:rPr>
      </w:pPr>
    </w:p>
    <w:p w14:paraId="4C46F707" w14:textId="597FB53D" w:rsidR="00496D2B" w:rsidRDefault="00496D2B">
      <w:pPr>
        <w:spacing w:line="276" w:lineRule="auto"/>
        <w:ind w:left="425"/>
        <w:jc w:val="both"/>
        <w:rPr>
          <w:rFonts w:ascii="Arial" w:eastAsia="Arial" w:hAnsi="Arial" w:cs="Arial"/>
          <w:b/>
          <w:sz w:val="24"/>
          <w:szCs w:val="24"/>
        </w:rPr>
      </w:pPr>
    </w:p>
    <w:p w14:paraId="1358BC01" w14:textId="77777777" w:rsidR="00496D2B" w:rsidRDefault="00496D2B">
      <w:pPr>
        <w:spacing w:line="276" w:lineRule="auto"/>
        <w:ind w:left="425"/>
        <w:jc w:val="both"/>
        <w:rPr>
          <w:rFonts w:ascii="Arial" w:eastAsia="Arial" w:hAnsi="Arial" w:cs="Arial"/>
          <w:b/>
          <w:sz w:val="24"/>
          <w:szCs w:val="24"/>
        </w:rPr>
      </w:pPr>
    </w:p>
    <w:p w14:paraId="1559AE3A" w14:textId="77777777" w:rsidR="009E4AA1" w:rsidRDefault="009E4AA1">
      <w:pPr>
        <w:spacing w:line="276" w:lineRule="auto"/>
        <w:ind w:left="425"/>
        <w:jc w:val="both"/>
        <w:rPr>
          <w:rFonts w:ascii="Arial" w:eastAsia="Arial" w:hAnsi="Arial" w:cs="Arial"/>
          <w:b/>
          <w:sz w:val="24"/>
          <w:szCs w:val="24"/>
        </w:rPr>
      </w:pPr>
    </w:p>
    <w:p w14:paraId="2C7DA4AA" w14:textId="77777777" w:rsidR="009E4AA1" w:rsidRDefault="009E4AA1">
      <w:pPr>
        <w:spacing w:line="276" w:lineRule="auto"/>
        <w:ind w:left="425"/>
        <w:jc w:val="both"/>
        <w:rPr>
          <w:rFonts w:ascii="Arial" w:eastAsia="Arial" w:hAnsi="Arial" w:cs="Arial"/>
          <w:b/>
          <w:sz w:val="24"/>
          <w:szCs w:val="24"/>
        </w:rPr>
      </w:pPr>
    </w:p>
    <w:p w14:paraId="6B22CD12" w14:textId="77777777" w:rsidR="009E4AA1" w:rsidRDefault="009E4AA1">
      <w:pPr>
        <w:spacing w:line="276" w:lineRule="auto"/>
        <w:ind w:left="425"/>
        <w:jc w:val="both"/>
        <w:rPr>
          <w:rFonts w:ascii="Arial" w:eastAsia="Arial" w:hAnsi="Arial" w:cs="Arial"/>
          <w:b/>
          <w:sz w:val="24"/>
          <w:szCs w:val="24"/>
        </w:rPr>
      </w:pPr>
    </w:p>
    <w:p w14:paraId="31221809" w14:textId="77777777" w:rsidR="009E4AA1" w:rsidRDefault="009E4AA1">
      <w:pPr>
        <w:spacing w:line="276" w:lineRule="auto"/>
        <w:ind w:left="425"/>
        <w:jc w:val="both"/>
        <w:rPr>
          <w:rFonts w:ascii="Arial" w:eastAsia="Arial" w:hAnsi="Arial" w:cs="Arial"/>
          <w:b/>
          <w:sz w:val="24"/>
          <w:szCs w:val="24"/>
        </w:rPr>
      </w:pPr>
    </w:p>
    <w:p w14:paraId="0400EBB6" w14:textId="77777777" w:rsidR="009E4AA1" w:rsidRDefault="009E4AA1">
      <w:pPr>
        <w:spacing w:line="276" w:lineRule="auto"/>
        <w:ind w:left="425"/>
        <w:jc w:val="both"/>
        <w:rPr>
          <w:rFonts w:ascii="Arial" w:eastAsia="Arial" w:hAnsi="Arial" w:cs="Arial"/>
          <w:b/>
          <w:sz w:val="24"/>
          <w:szCs w:val="24"/>
        </w:rPr>
      </w:pPr>
    </w:p>
    <w:p w14:paraId="325F61CF" w14:textId="77777777" w:rsidR="009E4AA1" w:rsidRDefault="009E4AA1">
      <w:pPr>
        <w:spacing w:line="276" w:lineRule="auto"/>
        <w:ind w:left="425"/>
        <w:jc w:val="both"/>
        <w:rPr>
          <w:rFonts w:ascii="Arial" w:eastAsia="Arial" w:hAnsi="Arial" w:cs="Arial"/>
          <w:b/>
          <w:sz w:val="24"/>
          <w:szCs w:val="24"/>
        </w:rPr>
      </w:pPr>
    </w:p>
    <w:p w14:paraId="103820FD" w14:textId="77777777" w:rsidR="009E4AA1" w:rsidRDefault="009E4AA1">
      <w:pPr>
        <w:spacing w:line="276" w:lineRule="auto"/>
        <w:ind w:left="425"/>
        <w:jc w:val="both"/>
        <w:rPr>
          <w:rFonts w:ascii="Arial" w:eastAsia="Arial" w:hAnsi="Arial" w:cs="Arial"/>
          <w:b/>
          <w:sz w:val="24"/>
          <w:szCs w:val="24"/>
        </w:rPr>
      </w:pPr>
    </w:p>
    <w:p w14:paraId="545634C5" w14:textId="77777777" w:rsidR="009E4AA1" w:rsidRDefault="009E4AA1">
      <w:pPr>
        <w:spacing w:line="276" w:lineRule="auto"/>
        <w:ind w:left="425"/>
        <w:jc w:val="both"/>
        <w:rPr>
          <w:rFonts w:ascii="Arial" w:eastAsia="Arial" w:hAnsi="Arial" w:cs="Arial"/>
          <w:b/>
          <w:sz w:val="24"/>
          <w:szCs w:val="24"/>
        </w:rPr>
      </w:pPr>
    </w:p>
    <w:p w14:paraId="0A333F83" w14:textId="77777777" w:rsidR="009E4AA1" w:rsidRDefault="009E4AA1">
      <w:pPr>
        <w:spacing w:line="276" w:lineRule="auto"/>
        <w:ind w:left="425"/>
        <w:jc w:val="both"/>
        <w:rPr>
          <w:rFonts w:ascii="Arial" w:eastAsia="Arial" w:hAnsi="Arial" w:cs="Arial"/>
          <w:b/>
          <w:sz w:val="24"/>
          <w:szCs w:val="24"/>
        </w:rPr>
      </w:pPr>
    </w:p>
    <w:p w14:paraId="6B18452D" w14:textId="77777777" w:rsidR="009E4AA1" w:rsidRDefault="009E4AA1">
      <w:pPr>
        <w:spacing w:line="276" w:lineRule="auto"/>
        <w:ind w:left="425"/>
        <w:jc w:val="both"/>
        <w:rPr>
          <w:rFonts w:ascii="Arial" w:eastAsia="Arial" w:hAnsi="Arial" w:cs="Arial"/>
          <w:b/>
          <w:sz w:val="24"/>
          <w:szCs w:val="24"/>
        </w:rPr>
      </w:pPr>
    </w:p>
    <w:p w14:paraId="1D22BF38" w14:textId="77777777" w:rsidR="009E4AA1" w:rsidRDefault="009E4AA1">
      <w:pPr>
        <w:spacing w:line="276" w:lineRule="auto"/>
        <w:ind w:left="425"/>
        <w:jc w:val="both"/>
        <w:rPr>
          <w:rFonts w:ascii="Arial" w:eastAsia="Arial" w:hAnsi="Arial" w:cs="Arial"/>
          <w:b/>
          <w:sz w:val="24"/>
          <w:szCs w:val="24"/>
        </w:rPr>
      </w:pPr>
    </w:p>
    <w:p w14:paraId="590E8229" w14:textId="77777777" w:rsidR="009E4AA1" w:rsidRDefault="009E4AA1">
      <w:pPr>
        <w:spacing w:line="276" w:lineRule="auto"/>
        <w:ind w:left="425"/>
        <w:jc w:val="both"/>
        <w:rPr>
          <w:rFonts w:ascii="Arial" w:eastAsia="Arial" w:hAnsi="Arial" w:cs="Arial"/>
          <w:b/>
          <w:sz w:val="24"/>
          <w:szCs w:val="24"/>
        </w:rPr>
      </w:pPr>
    </w:p>
    <w:p w14:paraId="1CA44F4A" w14:textId="77777777" w:rsidR="009E4AA1" w:rsidRDefault="005A671D">
      <w:pPr>
        <w:spacing w:line="360" w:lineRule="auto"/>
        <w:jc w:val="both"/>
        <w:rPr>
          <w:rFonts w:ascii="Arial" w:eastAsia="Arial" w:hAnsi="Arial" w:cs="Arial"/>
          <w:b/>
          <w:sz w:val="30"/>
          <w:szCs w:val="30"/>
        </w:rPr>
      </w:pPr>
      <w:r>
        <w:rPr>
          <w:rFonts w:ascii="Arial" w:eastAsia="Arial" w:hAnsi="Arial" w:cs="Arial"/>
          <w:b/>
          <w:sz w:val="30"/>
          <w:szCs w:val="30"/>
        </w:rPr>
        <w:t>I. Introducción</w:t>
      </w:r>
    </w:p>
    <w:p w14:paraId="66828F0A" w14:textId="77777777" w:rsidR="009E4AA1" w:rsidRDefault="005A671D">
      <w:pPr>
        <w:spacing w:line="360" w:lineRule="auto"/>
        <w:ind w:left="283"/>
        <w:jc w:val="both"/>
        <w:rPr>
          <w:rFonts w:ascii="Arial" w:eastAsia="Arial" w:hAnsi="Arial" w:cs="Arial"/>
          <w:sz w:val="24"/>
          <w:szCs w:val="24"/>
        </w:rPr>
      </w:pPr>
      <w:r>
        <w:rPr>
          <w:rFonts w:ascii="Arial" w:eastAsia="Arial" w:hAnsi="Arial" w:cs="Arial"/>
          <w:sz w:val="24"/>
          <w:szCs w:val="24"/>
        </w:rPr>
        <w:t>En el presente documento se expone el Plan de Diseño, Desarrollo y Validación del Instrumento de  valoración de conocimientos y aptitudes docentes, instrumento de apreciación aplicado como parte del proceso de selección para la promoción horizontal dentro de la función docente en educación secundaria de la modalidad telesecundaria con el objetivo particular de valorar en los aspirantes los conocimientos y aptitudes que se consideran necesarias para el ejercicio de la función docente, conforme a los Perfiles profesionales que constituyen el referente oficial en cuanto a las características que se consideran esenciales para el desempeño de esta función.</w:t>
      </w:r>
    </w:p>
    <w:p w14:paraId="39B66593" w14:textId="77777777" w:rsidR="009E4AA1" w:rsidRDefault="005A671D">
      <w:pPr>
        <w:spacing w:line="360" w:lineRule="auto"/>
        <w:ind w:left="283"/>
        <w:jc w:val="both"/>
        <w:rPr>
          <w:rFonts w:ascii="Arial" w:eastAsia="Arial" w:hAnsi="Arial" w:cs="Arial"/>
          <w:sz w:val="24"/>
          <w:szCs w:val="24"/>
        </w:rPr>
      </w:pPr>
      <w:r>
        <w:rPr>
          <w:rFonts w:ascii="Arial" w:eastAsia="Arial" w:hAnsi="Arial" w:cs="Arial"/>
          <w:sz w:val="24"/>
          <w:szCs w:val="24"/>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2563844F" w14:textId="77777777" w:rsidR="009E4AA1" w:rsidRDefault="005A671D">
      <w:pPr>
        <w:spacing w:line="360" w:lineRule="auto"/>
        <w:ind w:left="283"/>
        <w:jc w:val="both"/>
        <w:rPr>
          <w:rFonts w:ascii="Arial" w:eastAsia="Arial" w:hAnsi="Arial" w:cs="Arial"/>
          <w:sz w:val="24"/>
          <w:szCs w:val="24"/>
        </w:rPr>
      </w:pPr>
      <w:r>
        <w:rPr>
          <w:rFonts w:ascii="Arial" w:eastAsia="Arial" w:hAnsi="Arial" w:cs="Arial"/>
          <w:sz w:val="24"/>
          <w:szCs w:val="24"/>
        </w:rPr>
        <w:t xml:space="preserve">El Instrumento de  valoración de conocimientos y aptitudes docentes está pensado dentro del esquema del SISAP como una prueba cognitiva ,por lo que su calibración, calificación, análisis e interpretación de resultados serán realizados bajo el marco metodológico planteado por modelos de diagnóstico cognitivo tal y como se detalla en el Plan de Análisis correspondiente. </w:t>
      </w:r>
    </w:p>
    <w:p w14:paraId="75D77E3F" w14:textId="77777777" w:rsidR="009E4AA1" w:rsidRDefault="005A671D">
      <w:pPr>
        <w:spacing w:line="360" w:lineRule="auto"/>
        <w:ind w:left="283"/>
        <w:jc w:val="both"/>
        <w:rPr>
          <w:rFonts w:ascii="Arial" w:eastAsia="Arial" w:hAnsi="Arial" w:cs="Arial"/>
          <w:sz w:val="24"/>
          <w:szCs w:val="24"/>
        </w:rPr>
      </w:pPr>
      <w:r>
        <w:rPr>
          <w:rFonts w:ascii="Arial" w:eastAsia="Arial" w:hAnsi="Arial" w:cs="Arial"/>
          <w:sz w:val="24"/>
          <w:szCs w:val="24"/>
        </w:rPr>
        <w:t xml:space="preserve">El desglose de las acciones a desarrollar como parte de las fases de diseño, desarrollo y validación, cuenta con un sustento empírico y teórico, basado en modelos de diseño y desarrollo, modelos evaluativos y protocolos de validez reportados en la literatura especializada. De esta forma, el presente documento aborda desde la definición y delimitación del objeto de estudio de acuerdo con los propósitos establecidos en la LGSCMM, alineando los dominios y criterios a medir dentro de los Perfiles profesionales (SEP, 2019), que constituyen el referente oficial para la valoración de la práctica educativa, con el cuerpo de teorías y modelos desarrollados en la </w:t>
      </w:r>
      <w:r>
        <w:rPr>
          <w:rFonts w:ascii="Arial" w:eastAsia="Arial" w:hAnsi="Arial" w:cs="Arial"/>
          <w:sz w:val="24"/>
          <w:szCs w:val="24"/>
        </w:rPr>
        <w:lastRenderedPageBreak/>
        <w:t>literatura especializada para dar cuenta del objeto de medición; hasta la identificación de las relaciones existentes entre las habilidades y conocimientos que se requiere valorar para esquematizar la estructura interna de la prueba con base en la cual se desarrollará el contenido del instrumento, describiendo e incorporando en todo momento las estrategias a seguir para garantizar la validez de la interpretación de las mediciones a obtener tras su aplicación.</w:t>
      </w:r>
    </w:p>
    <w:p w14:paraId="671335E3" w14:textId="77777777" w:rsidR="009E4AA1" w:rsidRDefault="009E4AA1">
      <w:pPr>
        <w:spacing w:line="360" w:lineRule="auto"/>
        <w:ind w:left="425"/>
        <w:jc w:val="both"/>
        <w:rPr>
          <w:rFonts w:ascii="Arial" w:eastAsia="Arial" w:hAnsi="Arial" w:cs="Arial"/>
          <w:sz w:val="24"/>
          <w:szCs w:val="24"/>
        </w:rPr>
      </w:pPr>
    </w:p>
    <w:p w14:paraId="6707412B" w14:textId="4E3139D8" w:rsidR="009E4AA1" w:rsidRDefault="009E4AA1">
      <w:pPr>
        <w:spacing w:line="360" w:lineRule="auto"/>
        <w:ind w:left="425"/>
        <w:jc w:val="both"/>
        <w:rPr>
          <w:rFonts w:ascii="Arial" w:eastAsia="Arial" w:hAnsi="Arial" w:cs="Arial"/>
          <w:b/>
          <w:sz w:val="24"/>
          <w:szCs w:val="24"/>
        </w:rPr>
      </w:pPr>
    </w:p>
    <w:p w14:paraId="5184F83F" w14:textId="75346E7D" w:rsidR="00496D2B" w:rsidRDefault="00496D2B">
      <w:pPr>
        <w:spacing w:line="360" w:lineRule="auto"/>
        <w:ind w:left="425"/>
        <w:jc w:val="both"/>
        <w:rPr>
          <w:rFonts w:ascii="Arial" w:eastAsia="Arial" w:hAnsi="Arial" w:cs="Arial"/>
          <w:b/>
          <w:sz w:val="24"/>
          <w:szCs w:val="24"/>
        </w:rPr>
      </w:pPr>
    </w:p>
    <w:p w14:paraId="777F96EF" w14:textId="77777777" w:rsidR="00496D2B" w:rsidRDefault="00496D2B">
      <w:pPr>
        <w:spacing w:line="360" w:lineRule="auto"/>
        <w:ind w:left="425"/>
        <w:jc w:val="both"/>
        <w:rPr>
          <w:rFonts w:ascii="Arial" w:eastAsia="Arial" w:hAnsi="Arial" w:cs="Arial"/>
          <w:b/>
          <w:sz w:val="24"/>
          <w:szCs w:val="24"/>
        </w:rPr>
      </w:pPr>
    </w:p>
    <w:p w14:paraId="1C5C0A8E" w14:textId="77777777" w:rsidR="009E4AA1" w:rsidRDefault="009E4AA1">
      <w:pPr>
        <w:spacing w:line="360" w:lineRule="auto"/>
        <w:ind w:left="425"/>
        <w:jc w:val="both"/>
        <w:rPr>
          <w:rFonts w:ascii="Arial" w:eastAsia="Arial" w:hAnsi="Arial" w:cs="Arial"/>
          <w:b/>
          <w:sz w:val="24"/>
          <w:szCs w:val="24"/>
        </w:rPr>
      </w:pPr>
    </w:p>
    <w:p w14:paraId="120DADB3" w14:textId="77777777" w:rsidR="009E4AA1" w:rsidRDefault="009E4AA1">
      <w:pPr>
        <w:spacing w:line="360" w:lineRule="auto"/>
        <w:ind w:left="425"/>
        <w:jc w:val="both"/>
        <w:rPr>
          <w:rFonts w:ascii="Arial" w:eastAsia="Arial" w:hAnsi="Arial" w:cs="Arial"/>
          <w:b/>
          <w:sz w:val="24"/>
          <w:szCs w:val="24"/>
        </w:rPr>
      </w:pPr>
    </w:p>
    <w:p w14:paraId="31CD63C6" w14:textId="77777777" w:rsidR="009E4AA1" w:rsidRDefault="009E4AA1">
      <w:pPr>
        <w:spacing w:line="360" w:lineRule="auto"/>
        <w:ind w:left="425"/>
        <w:jc w:val="both"/>
        <w:rPr>
          <w:rFonts w:ascii="Arial" w:eastAsia="Arial" w:hAnsi="Arial" w:cs="Arial"/>
          <w:b/>
          <w:sz w:val="24"/>
          <w:szCs w:val="24"/>
        </w:rPr>
      </w:pPr>
    </w:p>
    <w:p w14:paraId="2F79822A" w14:textId="77777777" w:rsidR="009E4AA1" w:rsidRDefault="009E4AA1">
      <w:pPr>
        <w:spacing w:line="360" w:lineRule="auto"/>
        <w:ind w:left="425"/>
        <w:jc w:val="both"/>
        <w:rPr>
          <w:rFonts w:ascii="Arial" w:eastAsia="Arial" w:hAnsi="Arial" w:cs="Arial"/>
          <w:b/>
          <w:sz w:val="24"/>
          <w:szCs w:val="24"/>
        </w:rPr>
      </w:pPr>
    </w:p>
    <w:p w14:paraId="638359ED" w14:textId="77777777" w:rsidR="009E4AA1" w:rsidRDefault="009E4AA1">
      <w:pPr>
        <w:spacing w:line="360" w:lineRule="auto"/>
        <w:ind w:left="425"/>
        <w:jc w:val="both"/>
        <w:rPr>
          <w:rFonts w:ascii="Arial" w:eastAsia="Arial" w:hAnsi="Arial" w:cs="Arial"/>
          <w:b/>
          <w:sz w:val="24"/>
          <w:szCs w:val="24"/>
        </w:rPr>
      </w:pPr>
    </w:p>
    <w:p w14:paraId="411DBCAD" w14:textId="77777777" w:rsidR="009E4AA1" w:rsidRDefault="009E4AA1">
      <w:pPr>
        <w:spacing w:line="360" w:lineRule="auto"/>
        <w:ind w:left="425"/>
        <w:jc w:val="both"/>
        <w:rPr>
          <w:rFonts w:ascii="Arial" w:eastAsia="Arial" w:hAnsi="Arial" w:cs="Arial"/>
          <w:b/>
          <w:sz w:val="24"/>
          <w:szCs w:val="24"/>
        </w:rPr>
      </w:pPr>
    </w:p>
    <w:p w14:paraId="2CDC220C" w14:textId="77777777" w:rsidR="009E4AA1" w:rsidRDefault="009E4AA1">
      <w:pPr>
        <w:spacing w:line="360" w:lineRule="auto"/>
        <w:ind w:left="425"/>
        <w:jc w:val="both"/>
        <w:rPr>
          <w:rFonts w:ascii="Arial" w:eastAsia="Arial" w:hAnsi="Arial" w:cs="Arial"/>
          <w:b/>
          <w:sz w:val="24"/>
          <w:szCs w:val="24"/>
        </w:rPr>
      </w:pPr>
    </w:p>
    <w:p w14:paraId="1413011A" w14:textId="77777777" w:rsidR="009E4AA1" w:rsidRDefault="009E4AA1">
      <w:pPr>
        <w:spacing w:line="360" w:lineRule="auto"/>
        <w:ind w:left="425"/>
        <w:jc w:val="both"/>
        <w:rPr>
          <w:rFonts w:ascii="Arial" w:eastAsia="Arial" w:hAnsi="Arial" w:cs="Arial"/>
          <w:b/>
          <w:sz w:val="24"/>
          <w:szCs w:val="24"/>
        </w:rPr>
      </w:pPr>
    </w:p>
    <w:p w14:paraId="381DF4A6" w14:textId="77777777" w:rsidR="009E4AA1" w:rsidRDefault="009E4AA1">
      <w:pPr>
        <w:spacing w:line="360" w:lineRule="auto"/>
        <w:ind w:left="425"/>
        <w:jc w:val="both"/>
        <w:rPr>
          <w:rFonts w:ascii="Arial" w:eastAsia="Arial" w:hAnsi="Arial" w:cs="Arial"/>
          <w:b/>
          <w:sz w:val="24"/>
          <w:szCs w:val="24"/>
        </w:rPr>
      </w:pPr>
    </w:p>
    <w:p w14:paraId="703F529A" w14:textId="77777777" w:rsidR="009E4AA1" w:rsidRDefault="009E4AA1">
      <w:pPr>
        <w:spacing w:line="360" w:lineRule="auto"/>
        <w:ind w:left="425"/>
        <w:jc w:val="both"/>
        <w:rPr>
          <w:rFonts w:ascii="Arial" w:eastAsia="Arial" w:hAnsi="Arial" w:cs="Arial"/>
          <w:b/>
          <w:sz w:val="24"/>
          <w:szCs w:val="24"/>
        </w:rPr>
      </w:pPr>
    </w:p>
    <w:p w14:paraId="4850D707" w14:textId="77777777" w:rsidR="009E4AA1" w:rsidRDefault="009E4AA1">
      <w:pPr>
        <w:spacing w:line="360" w:lineRule="auto"/>
        <w:ind w:left="425"/>
        <w:jc w:val="both"/>
        <w:rPr>
          <w:rFonts w:ascii="Arial" w:eastAsia="Arial" w:hAnsi="Arial" w:cs="Arial"/>
          <w:b/>
          <w:sz w:val="24"/>
          <w:szCs w:val="24"/>
        </w:rPr>
      </w:pPr>
    </w:p>
    <w:p w14:paraId="605615C3" w14:textId="77777777" w:rsidR="009E4AA1" w:rsidRDefault="009E4AA1">
      <w:pPr>
        <w:spacing w:line="360" w:lineRule="auto"/>
        <w:ind w:left="425"/>
        <w:jc w:val="both"/>
        <w:rPr>
          <w:rFonts w:ascii="Arial" w:eastAsia="Arial" w:hAnsi="Arial" w:cs="Arial"/>
          <w:b/>
          <w:sz w:val="24"/>
          <w:szCs w:val="24"/>
        </w:rPr>
      </w:pPr>
    </w:p>
    <w:p w14:paraId="618DBB18" w14:textId="77777777" w:rsidR="009E4AA1" w:rsidRDefault="009E4AA1">
      <w:pPr>
        <w:spacing w:line="360" w:lineRule="auto"/>
        <w:ind w:left="425"/>
        <w:jc w:val="both"/>
        <w:rPr>
          <w:rFonts w:ascii="Arial" w:eastAsia="Arial" w:hAnsi="Arial" w:cs="Arial"/>
          <w:b/>
          <w:sz w:val="24"/>
          <w:szCs w:val="24"/>
        </w:rPr>
      </w:pPr>
    </w:p>
    <w:p w14:paraId="154F7F15" w14:textId="77777777" w:rsidR="009E4AA1" w:rsidRDefault="009E4AA1">
      <w:pPr>
        <w:spacing w:line="360" w:lineRule="auto"/>
        <w:ind w:left="425"/>
        <w:jc w:val="both"/>
        <w:rPr>
          <w:rFonts w:ascii="Arial" w:eastAsia="Arial" w:hAnsi="Arial" w:cs="Arial"/>
          <w:b/>
          <w:sz w:val="24"/>
          <w:szCs w:val="24"/>
        </w:rPr>
      </w:pPr>
    </w:p>
    <w:p w14:paraId="25CB09AB" w14:textId="77777777" w:rsidR="009E4AA1" w:rsidRDefault="009E4AA1">
      <w:pPr>
        <w:spacing w:line="360" w:lineRule="auto"/>
        <w:ind w:left="425"/>
        <w:jc w:val="both"/>
        <w:rPr>
          <w:rFonts w:ascii="Arial" w:eastAsia="Arial" w:hAnsi="Arial" w:cs="Arial"/>
          <w:b/>
          <w:sz w:val="24"/>
          <w:szCs w:val="24"/>
        </w:rPr>
      </w:pPr>
    </w:p>
    <w:p w14:paraId="793EB212" w14:textId="77777777" w:rsidR="009E4AA1" w:rsidRDefault="009E4AA1">
      <w:pPr>
        <w:spacing w:line="360" w:lineRule="auto"/>
        <w:ind w:left="425"/>
        <w:jc w:val="both"/>
        <w:rPr>
          <w:rFonts w:ascii="Arial" w:eastAsia="Arial" w:hAnsi="Arial" w:cs="Arial"/>
          <w:b/>
          <w:sz w:val="24"/>
          <w:szCs w:val="24"/>
        </w:rPr>
      </w:pPr>
    </w:p>
    <w:p w14:paraId="75424B48" w14:textId="77777777" w:rsidR="009E4AA1" w:rsidRDefault="005A671D">
      <w:pPr>
        <w:spacing w:line="360" w:lineRule="auto"/>
        <w:jc w:val="both"/>
        <w:rPr>
          <w:rFonts w:ascii="Arial" w:eastAsia="Arial" w:hAnsi="Arial" w:cs="Arial"/>
          <w:b/>
          <w:sz w:val="30"/>
          <w:szCs w:val="30"/>
        </w:rPr>
      </w:pPr>
      <w:r>
        <w:rPr>
          <w:rFonts w:ascii="Arial" w:eastAsia="Arial" w:hAnsi="Arial" w:cs="Arial"/>
          <w:b/>
          <w:sz w:val="30"/>
          <w:szCs w:val="30"/>
        </w:rPr>
        <w:t>II. Marco Metodológico</w:t>
      </w:r>
    </w:p>
    <w:p w14:paraId="0B4EF4FB" w14:textId="77777777" w:rsidR="009E4AA1" w:rsidRDefault="005A671D">
      <w:pPr>
        <w:spacing w:line="360" w:lineRule="auto"/>
        <w:ind w:left="283"/>
        <w:jc w:val="both"/>
        <w:rPr>
          <w:rFonts w:ascii="Arial" w:eastAsia="Arial" w:hAnsi="Arial" w:cs="Arial"/>
          <w:sz w:val="24"/>
          <w:szCs w:val="24"/>
        </w:rPr>
      </w:pPr>
      <w:r>
        <w:rPr>
          <w:rFonts w:ascii="Arial" w:eastAsia="Arial" w:hAnsi="Arial" w:cs="Arial"/>
          <w:sz w:val="24"/>
          <w:szCs w:val="24"/>
        </w:rPr>
        <w:t xml:space="preserve">Para el presente plan de diseño, desarrollo y validación se trabajó en la alineación de los dominios y criterios a medir contenidos en el perfil profesional para docente en educación secundaria de la modalidad telesecundaria en el </w:t>
      </w:r>
      <w:r>
        <w:rPr>
          <w:rFonts w:ascii="Arial" w:eastAsia="Arial" w:hAnsi="Arial" w:cs="Arial"/>
          <w:i/>
          <w:sz w:val="24"/>
          <w:szCs w:val="24"/>
        </w:rPr>
        <w:t xml:space="preserve">Marco para la excelencia en la enseñanza y la gestión escolar en la Educación Básica </w:t>
      </w:r>
      <w:r>
        <w:rPr>
          <w:rFonts w:ascii="Arial" w:eastAsia="Arial" w:hAnsi="Arial" w:cs="Arial"/>
          <w:sz w:val="24"/>
          <w:szCs w:val="24"/>
        </w:rPr>
        <w:t>(SEP, 2019), con un modelo sustantivo que identifica claramente los componentes  principales que subyacen al objeto de medición y su interacción, a fin de orientar el desarrollo del Instrumento de  valoración de conocimientos y aptitudes docentes como un instrumento de valoración que permita dar cuenta de su complejidad, al obtener mediciones cuya interpretación dé cuenta de las características de los aspirantes.</w:t>
      </w:r>
    </w:p>
    <w:p w14:paraId="6F190358" w14:textId="77777777" w:rsidR="009E4AA1" w:rsidRDefault="005A671D">
      <w:pPr>
        <w:spacing w:line="360" w:lineRule="auto"/>
        <w:ind w:left="283"/>
        <w:jc w:val="both"/>
        <w:rPr>
          <w:rFonts w:ascii="Arial" w:eastAsia="Arial" w:hAnsi="Arial" w:cs="Arial"/>
          <w:sz w:val="24"/>
          <w:szCs w:val="24"/>
        </w:rPr>
      </w:pPr>
      <w:r>
        <w:rPr>
          <w:rFonts w:ascii="Arial" w:eastAsia="Arial" w:hAnsi="Arial" w:cs="Arial"/>
          <w:sz w:val="24"/>
          <w:szCs w:val="24"/>
        </w:rPr>
        <w:t>Durante la fase de diseño, se trabajó con un modelo de diagnóstico cognitivo que integra las propuestas de Nitko (1994) en cuanto al diseño de pruebas alineadas a un marco normativo, y las propuestas para el diseño de pruebas cognitivas de Mislevy (2007) y Embretson y Gorin, (2001) donde se enfatiza la recolección de evidencias observables sobre los procesos de respuesta empleados por los sustentantes al requerirles la aplicación de las habilidades y conocimientos que se consideran parte del constructo a valorar, más allá de la valoración mnémica del conocimiento declarativo, priorizando en todo momento la recolección en espiral de evidencias de validez, basadas en el trabajo con comités de expertos y la obtención de reportes de procesos de respuesta con una muestra similar a la población objetivo.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2DA22FB8" w14:textId="77777777" w:rsidR="009E4AA1" w:rsidRDefault="005A671D">
      <w:pPr>
        <w:spacing w:line="360" w:lineRule="auto"/>
        <w:ind w:left="283"/>
        <w:jc w:val="both"/>
        <w:rPr>
          <w:rFonts w:ascii="Arial" w:eastAsia="Arial" w:hAnsi="Arial" w:cs="Arial"/>
          <w:sz w:val="24"/>
          <w:szCs w:val="24"/>
        </w:rPr>
      </w:pPr>
      <w:r>
        <w:rPr>
          <w:rFonts w:ascii="Arial" w:eastAsia="Arial" w:hAnsi="Arial" w:cs="Arial"/>
          <w:sz w:val="24"/>
          <w:szCs w:val="24"/>
        </w:rPr>
        <w:t xml:space="preserve">Durante la fase de desarrollo, el énfasis principal estuvo en el poder garantizar la correspondencia entre el instrumento construído a partir del modelo de diseño planteado en la primera fase y los supuestos técnicos y estadísticos que subyacen a las teorías y modelos estadísticos que comprenden los marcos metodológicos a utilizar para la calibración de los instrumentos y el análisis de los resultados obtenidos por los participantes (la Teoría de </w:t>
      </w:r>
      <w:r>
        <w:rPr>
          <w:rFonts w:ascii="Arial" w:eastAsia="Arial" w:hAnsi="Arial" w:cs="Arial"/>
          <w:sz w:val="24"/>
          <w:szCs w:val="24"/>
        </w:rPr>
        <w:lastRenderedPageBreak/>
        <w:t>Respuesta al Ítem y los Modelos de Diagnóstico Cognitivo), a fin de garantizar la validez de su interpretación como guía para la toma de decisiones.</w:t>
      </w:r>
    </w:p>
    <w:p w14:paraId="420D7D49" w14:textId="77777777" w:rsidR="009E4AA1" w:rsidRDefault="005A671D">
      <w:pPr>
        <w:spacing w:line="360" w:lineRule="auto"/>
        <w:ind w:left="283"/>
        <w:jc w:val="both"/>
        <w:rPr>
          <w:rFonts w:ascii="Arial" w:eastAsia="Arial" w:hAnsi="Arial" w:cs="Arial"/>
          <w:sz w:val="24"/>
          <w:szCs w:val="24"/>
        </w:rPr>
      </w:pPr>
      <w:r>
        <w:rPr>
          <w:rFonts w:ascii="Arial" w:eastAsia="Arial" w:hAnsi="Arial" w:cs="Arial"/>
          <w:sz w:val="24"/>
          <w:szCs w:val="24"/>
        </w:rPr>
        <w:t xml:space="preserve">Finalmente, es importante enfatizar que el esfuerzo concentrado en la fase de validación puede también encontrarse de manera transversal durante el desarrollo de las fases que le anteceden, al promover la validación del trabajo realizado en cuanto al diseño y desarrollo del instrumento por medio de un Comité de Expertos en contenido y en materia de medición y psicometría. La tercera fase del presente plan de diseño, desarrollo y validación, comprende la recopilación de reportes de procesos de respuesta asociados con la resolución de las versiones preliminares del instrumento por un grupo de expertos en contenido, así como la calibración de los resultados obtenidos tras una aplicación piloto con una muestra de la población objetivo. </w:t>
      </w:r>
    </w:p>
    <w:p w14:paraId="1A8C3263" w14:textId="77777777" w:rsidR="009E4AA1" w:rsidRDefault="005A671D">
      <w:pPr>
        <w:spacing w:line="360" w:lineRule="auto"/>
        <w:ind w:left="283"/>
        <w:jc w:val="both"/>
        <w:rPr>
          <w:rFonts w:ascii="Arial" w:eastAsia="Arial" w:hAnsi="Arial" w:cs="Arial"/>
          <w:sz w:val="24"/>
          <w:szCs w:val="24"/>
        </w:rPr>
      </w:pPr>
      <w:r>
        <w:rPr>
          <w:rFonts w:ascii="Arial" w:eastAsia="Arial" w:hAnsi="Arial" w:cs="Arial"/>
          <w:sz w:val="24"/>
          <w:szCs w:val="24"/>
        </w:rPr>
        <w:t>A continuación, se presentan los detalles correspondientes al modelo de diseño, desarrollo y validación del Instrumento de  valoración de conocimientos y aptitudes docentes aplicado como parte del proceso de selección para la promoción horizontal a docente en educación secundaria de la modalidad telesecundaria, las fases y acciones que lo componen, y el sustento teórico y metodológico que le subyace.</w:t>
      </w:r>
    </w:p>
    <w:p w14:paraId="0F75C3C7" w14:textId="77777777" w:rsidR="009E4AA1" w:rsidRDefault="009E4AA1">
      <w:pPr>
        <w:spacing w:line="360" w:lineRule="auto"/>
        <w:ind w:left="425"/>
        <w:jc w:val="both"/>
        <w:rPr>
          <w:rFonts w:ascii="Arial" w:eastAsia="Arial" w:hAnsi="Arial" w:cs="Arial"/>
          <w:sz w:val="24"/>
          <w:szCs w:val="24"/>
        </w:rPr>
      </w:pPr>
    </w:p>
    <w:p w14:paraId="33E46B88" w14:textId="77777777" w:rsidR="009E4AA1" w:rsidRDefault="005A671D">
      <w:pPr>
        <w:spacing w:line="360" w:lineRule="auto"/>
        <w:jc w:val="both"/>
        <w:rPr>
          <w:rFonts w:ascii="Arial" w:eastAsia="Arial" w:hAnsi="Arial" w:cs="Arial"/>
          <w:b/>
          <w:sz w:val="24"/>
          <w:szCs w:val="24"/>
        </w:rPr>
      </w:pPr>
      <w:r>
        <w:rPr>
          <w:rFonts w:ascii="Arial" w:eastAsia="Arial" w:hAnsi="Arial" w:cs="Arial"/>
          <w:b/>
          <w:sz w:val="24"/>
          <w:szCs w:val="24"/>
        </w:rPr>
        <w:t>2.1. Enfoque de apreciación</w:t>
      </w:r>
    </w:p>
    <w:p w14:paraId="5CFE09C2" w14:textId="77777777" w:rsidR="009E4AA1" w:rsidRDefault="005A671D">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18C95103" w14:textId="77777777" w:rsidR="009E4AA1" w:rsidRDefault="005A671D">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 xml:space="preserve">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w:t>
      </w:r>
      <w:r>
        <w:rPr>
          <w:rFonts w:ascii="Arial" w:eastAsia="Arial" w:hAnsi="Arial" w:cs="Arial"/>
          <w:sz w:val="24"/>
          <w:szCs w:val="24"/>
        </w:rPr>
        <w:lastRenderedPageBreak/>
        <w:t>educación: 1) el principio del compromiso ético pedagógico con el cambio; 2) el principio de la participación plena y la responsabilidad y 3) el principio del carácter continuo y prospectivo del proceso.</w:t>
      </w:r>
    </w:p>
    <w:p w14:paraId="7E35AB64" w14:textId="77777777" w:rsidR="009E4AA1" w:rsidRDefault="005A671D">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 xml:space="preserve">El proceso de apreciación tiene por objetivo proporcionar la máxima información, procurando en todo momento respetar los más altos estándares de calidad técnica en cuanto a los planes de diseño, desarrollo y validación propuestos, las metodologías empleadas y los recursos administrados. </w:t>
      </w:r>
    </w:p>
    <w:p w14:paraId="6BFD0A38" w14:textId="77777777" w:rsidR="009E4AA1" w:rsidRDefault="005A671D">
      <w:pPr>
        <w:spacing w:line="360" w:lineRule="auto"/>
        <w:ind w:left="283"/>
        <w:jc w:val="both"/>
        <w:rPr>
          <w:rFonts w:ascii="Arial" w:eastAsia="Arial" w:hAnsi="Arial" w:cs="Arial"/>
          <w:sz w:val="24"/>
          <w:szCs w:val="24"/>
        </w:rPr>
      </w:pPr>
      <w:r>
        <w:rPr>
          <w:rFonts w:ascii="Arial" w:eastAsia="Arial" w:hAnsi="Arial" w:cs="Arial"/>
          <w:sz w:val="24"/>
          <w:szCs w:val="24"/>
        </w:rPr>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Nitko (1994). </w:t>
      </w:r>
    </w:p>
    <w:p w14:paraId="657DFFF3" w14:textId="77777777" w:rsidR="009E4AA1" w:rsidRDefault="005A671D">
      <w:pPr>
        <w:spacing w:line="360" w:lineRule="auto"/>
        <w:ind w:left="283"/>
        <w:jc w:val="both"/>
        <w:rPr>
          <w:rFonts w:ascii="Arial" w:eastAsia="Arial" w:hAnsi="Arial" w:cs="Arial"/>
          <w:sz w:val="24"/>
          <w:szCs w:val="24"/>
        </w:rPr>
      </w:pPr>
      <w:r>
        <w:rPr>
          <w:rFonts w:ascii="Arial" w:eastAsia="Arial" w:hAnsi="Arial" w:cs="Arial"/>
          <w:sz w:val="24"/>
          <w:szCs w:val="24"/>
        </w:rPr>
        <w:t>En los últimos años ha crecido el interés, el uso y desarrollo de pruebas de diagnóstico cognitivo en el campo educativo, en el reclutamiento de personal y en la investigación en psicología, entre otros. El objetivo de estas pruebas (Al-Shamrani &amp; Dimitorv, 2017)</w:t>
      </w:r>
      <w:r>
        <w:rPr>
          <w:rFonts w:ascii="Arial" w:eastAsia="Arial" w:hAnsi="Arial" w:cs="Arial"/>
          <w:sz w:val="20"/>
          <w:szCs w:val="20"/>
          <w:shd w:val="clear" w:color="auto" w:fill="F8F8F8"/>
        </w:rPr>
        <w:t xml:space="preserve"> </w:t>
      </w:r>
      <w:r>
        <w:rPr>
          <w:rFonts w:ascii="Arial" w:eastAsia="Arial" w:hAnsi="Arial" w:cs="Arial"/>
          <w:sz w:val="24"/>
          <w:szCs w:val="24"/>
        </w:rPr>
        <w:t xml:space="preserve">es identificar el grado de experticia o dominio que una persona posee a lo largo de una serie de habilidades, conocimientos, destrezas o atributos a valorar, cuya aplicación resulta esencial para poder responder de manera acertada los ítems que las componen. Una de las bondades que presentan las pruebas de diagnóstico cognitivo es que permiten la recolección y devolución de información precisa sobre los resultados obtenidos por los aspirantes, dado que la elaboración de los </w:t>
      </w:r>
      <w:r>
        <w:rPr>
          <w:rFonts w:ascii="Arial" w:eastAsia="Arial" w:hAnsi="Arial" w:cs="Arial"/>
          <w:sz w:val="24"/>
          <w:szCs w:val="24"/>
        </w:rPr>
        <w:lastRenderedPageBreak/>
        <w:t xml:space="preserve">reactivos que las componen cuenta con un componente cognitivo basado en evidencia. El Instrumento de valoración de conocimientos y aptitudes, está pensado como una prueba de este tipo y se espera que el acotar su diseño, desarrollo, validación y calificación al marco metodológico planteado por los modelos de diagnóstico cognitivo, permitan devolver información granulada a los aspirantes acerca de sus áreas específicas de mejora y fortaleza, a fin de orientar la toma de decisiones en cuanto al diseño y uso de estrategias de mejora continua. </w:t>
      </w:r>
    </w:p>
    <w:p w14:paraId="2DD105FD" w14:textId="77777777" w:rsidR="009E4AA1" w:rsidRDefault="005A671D">
      <w:pPr>
        <w:spacing w:line="360" w:lineRule="auto"/>
        <w:ind w:left="283"/>
        <w:jc w:val="both"/>
        <w:rPr>
          <w:rFonts w:ascii="Arial" w:eastAsia="Arial" w:hAnsi="Arial" w:cs="Arial"/>
          <w:sz w:val="24"/>
          <w:szCs w:val="24"/>
        </w:rPr>
      </w:pPr>
      <w:r>
        <w:rPr>
          <w:rFonts w:ascii="Arial" w:eastAsia="Arial" w:hAnsi="Arial" w:cs="Arial"/>
          <w:sz w:val="24"/>
          <w:szCs w:val="24"/>
        </w:rPr>
        <w:tab/>
        <w:t>Uno de los componentes esenciales de los modelos de diagnóstico cognitivo (Sorrel et al., 2016) es que captura de manera explícita la estructura interna de la prueba y establece la relación de  los atributos necesarios para contestar satisfactoriamente cada reactivo, en lo que se conoce como matriz Q. En contraste, la teoría clásica de los test y la teoría de respuesta al ítem  suelen utilizar una estructura simple, donde se asume que cada ítem aporta información para la medición de un sólo factor o atributo, mientras que los modelos de diagnóstico cognitivo permiten tomar en cuenta la interacción entre estos, de manera que se asume que cada ítem requiere del participante la aplicación de más de un atributo, permitiendo trazar una  estructura más compleja.</w:t>
      </w:r>
    </w:p>
    <w:p w14:paraId="46DF864A" w14:textId="77777777" w:rsidR="009E4AA1" w:rsidRDefault="009E4AA1">
      <w:pPr>
        <w:spacing w:line="360" w:lineRule="auto"/>
        <w:ind w:left="425"/>
        <w:jc w:val="both"/>
        <w:rPr>
          <w:rFonts w:ascii="Arial" w:eastAsia="Arial" w:hAnsi="Arial" w:cs="Arial"/>
          <w:sz w:val="24"/>
          <w:szCs w:val="24"/>
        </w:rPr>
      </w:pPr>
    </w:p>
    <w:p w14:paraId="082F9463" w14:textId="74CE53D2" w:rsidR="009E4AA1" w:rsidRDefault="009E4AA1">
      <w:pPr>
        <w:spacing w:line="360" w:lineRule="auto"/>
        <w:jc w:val="both"/>
        <w:rPr>
          <w:rFonts w:ascii="Arial" w:eastAsia="Arial" w:hAnsi="Arial" w:cs="Arial"/>
          <w:sz w:val="24"/>
          <w:szCs w:val="24"/>
        </w:rPr>
      </w:pPr>
    </w:p>
    <w:p w14:paraId="2A728904" w14:textId="06FF1D52" w:rsidR="00496D2B" w:rsidRDefault="00496D2B">
      <w:pPr>
        <w:spacing w:line="360" w:lineRule="auto"/>
        <w:jc w:val="both"/>
        <w:rPr>
          <w:rFonts w:ascii="Arial" w:eastAsia="Arial" w:hAnsi="Arial" w:cs="Arial"/>
          <w:sz w:val="24"/>
          <w:szCs w:val="24"/>
        </w:rPr>
      </w:pPr>
    </w:p>
    <w:p w14:paraId="0414957B" w14:textId="24B73620" w:rsidR="00496D2B" w:rsidRDefault="00496D2B">
      <w:pPr>
        <w:spacing w:line="360" w:lineRule="auto"/>
        <w:jc w:val="both"/>
        <w:rPr>
          <w:rFonts w:ascii="Arial" w:eastAsia="Arial" w:hAnsi="Arial" w:cs="Arial"/>
          <w:sz w:val="24"/>
          <w:szCs w:val="24"/>
        </w:rPr>
      </w:pPr>
    </w:p>
    <w:p w14:paraId="23A42412" w14:textId="6B089416" w:rsidR="00496D2B" w:rsidRDefault="00496D2B">
      <w:pPr>
        <w:spacing w:line="360" w:lineRule="auto"/>
        <w:jc w:val="both"/>
        <w:rPr>
          <w:rFonts w:ascii="Arial" w:eastAsia="Arial" w:hAnsi="Arial" w:cs="Arial"/>
          <w:sz w:val="24"/>
          <w:szCs w:val="24"/>
        </w:rPr>
      </w:pPr>
    </w:p>
    <w:p w14:paraId="4326101F" w14:textId="2645401E" w:rsidR="00496D2B" w:rsidRDefault="00496D2B">
      <w:pPr>
        <w:spacing w:line="360" w:lineRule="auto"/>
        <w:jc w:val="both"/>
        <w:rPr>
          <w:rFonts w:ascii="Arial" w:eastAsia="Arial" w:hAnsi="Arial" w:cs="Arial"/>
          <w:sz w:val="24"/>
          <w:szCs w:val="24"/>
        </w:rPr>
      </w:pPr>
    </w:p>
    <w:p w14:paraId="49B983FB" w14:textId="6D092027" w:rsidR="00496D2B" w:rsidRDefault="00496D2B">
      <w:pPr>
        <w:spacing w:line="360" w:lineRule="auto"/>
        <w:jc w:val="both"/>
        <w:rPr>
          <w:rFonts w:ascii="Arial" w:eastAsia="Arial" w:hAnsi="Arial" w:cs="Arial"/>
          <w:sz w:val="24"/>
          <w:szCs w:val="24"/>
        </w:rPr>
      </w:pPr>
    </w:p>
    <w:p w14:paraId="12236E8F" w14:textId="7455171F" w:rsidR="00496D2B" w:rsidRDefault="00496D2B">
      <w:pPr>
        <w:spacing w:line="360" w:lineRule="auto"/>
        <w:jc w:val="both"/>
        <w:rPr>
          <w:rFonts w:ascii="Arial" w:eastAsia="Arial" w:hAnsi="Arial" w:cs="Arial"/>
          <w:sz w:val="24"/>
          <w:szCs w:val="24"/>
        </w:rPr>
      </w:pPr>
    </w:p>
    <w:p w14:paraId="7F6502C9" w14:textId="6128C30B" w:rsidR="00496D2B" w:rsidRDefault="00496D2B">
      <w:pPr>
        <w:spacing w:line="360" w:lineRule="auto"/>
        <w:jc w:val="both"/>
        <w:rPr>
          <w:rFonts w:ascii="Arial" w:eastAsia="Arial" w:hAnsi="Arial" w:cs="Arial"/>
          <w:sz w:val="24"/>
          <w:szCs w:val="24"/>
        </w:rPr>
      </w:pPr>
    </w:p>
    <w:p w14:paraId="73CF57BB" w14:textId="74659FDC" w:rsidR="00496D2B" w:rsidRDefault="00496D2B">
      <w:pPr>
        <w:spacing w:line="360" w:lineRule="auto"/>
        <w:jc w:val="both"/>
        <w:rPr>
          <w:rFonts w:ascii="Arial" w:eastAsia="Arial" w:hAnsi="Arial" w:cs="Arial"/>
          <w:sz w:val="24"/>
          <w:szCs w:val="24"/>
        </w:rPr>
      </w:pPr>
    </w:p>
    <w:p w14:paraId="79B2AFBB" w14:textId="570CA007" w:rsidR="00496D2B" w:rsidRDefault="00496D2B">
      <w:pPr>
        <w:spacing w:line="360" w:lineRule="auto"/>
        <w:jc w:val="both"/>
        <w:rPr>
          <w:rFonts w:ascii="Arial" w:eastAsia="Arial" w:hAnsi="Arial" w:cs="Arial"/>
          <w:sz w:val="24"/>
          <w:szCs w:val="24"/>
        </w:rPr>
      </w:pPr>
    </w:p>
    <w:p w14:paraId="1A641991" w14:textId="0D358E2B" w:rsidR="00496D2B" w:rsidRDefault="00496D2B">
      <w:pPr>
        <w:spacing w:line="360" w:lineRule="auto"/>
        <w:jc w:val="both"/>
        <w:rPr>
          <w:rFonts w:ascii="Arial" w:eastAsia="Arial" w:hAnsi="Arial" w:cs="Arial"/>
          <w:sz w:val="24"/>
          <w:szCs w:val="24"/>
        </w:rPr>
      </w:pPr>
    </w:p>
    <w:p w14:paraId="5A9BCDD4" w14:textId="77777777" w:rsidR="00496D2B" w:rsidRDefault="00496D2B">
      <w:pPr>
        <w:spacing w:line="360" w:lineRule="auto"/>
        <w:jc w:val="both"/>
        <w:rPr>
          <w:rFonts w:ascii="Arial" w:eastAsia="Arial" w:hAnsi="Arial" w:cs="Arial"/>
          <w:sz w:val="24"/>
          <w:szCs w:val="24"/>
        </w:rPr>
      </w:pPr>
    </w:p>
    <w:p w14:paraId="245C42BA" w14:textId="77777777" w:rsidR="009E4AA1" w:rsidRDefault="005A671D">
      <w:pPr>
        <w:spacing w:line="360" w:lineRule="auto"/>
        <w:jc w:val="both"/>
        <w:rPr>
          <w:rFonts w:ascii="Arial" w:eastAsia="Arial" w:hAnsi="Arial" w:cs="Arial"/>
          <w:b/>
          <w:sz w:val="24"/>
          <w:szCs w:val="24"/>
        </w:rPr>
      </w:pPr>
      <w:bookmarkStart w:id="2" w:name="_heading=h.30j0zll" w:colFirst="0" w:colLast="0"/>
      <w:bookmarkEnd w:id="2"/>
      <w:r>
        <w:rPr>
          <w:rFonts w:ascii="Arial" w:eastAsia="Arial" w:hAnsi="Arial" w:cs="Arial"/>
          <w:b/>
          <w:sz w:val="24"/>
          <w:szCs w:val="24"/>
        </w:rPr>
        <w:t xml:space="preserve">2.2. Modelo de Diseño, Desarrollo y Validación del Instrumento de apreciación </w:t>
      </w:r>
    </w:p>
    <w:p w14:paraId="0278AC38" w14:textId="77777777" w:rsidR="009E4AA1" w:rsidRDefault="005A671D">
      <w:pPr>
        <w:spacing w:line="360" w:lineRule="auto"/>
        <w:ind w:left="425"/>
        <w:jc w:val="both"/>
        <w:rPr>
          <w:rFonts w:ascii="Arial" w:eastAsia="Arial" w:hAnsi="Arial" w:cs="Arial"/>
          <w:b/>
          <w:sz w:val="24"/>
          <w:szCs w:val="24"/>
        </w:rPr>
      </w:pPr>
      <w:r>
        <w:rPr>
          <w:rFonts w:ascii="Arial" w:eastAsia="Arial" w:hAnsi="Arial" w:cs="Arial"/>
          <w:sz w:val="24"/>
          <w:szCs w:val="24"/>
        </w:rPr>
        <w:t>En la Tabla 1 se presentan las fases que comprenden el presente modelo de diseño, desarrollo y validación del Instrumento de  valoración de conocimientos y aptitudes docentes y las actividades a desarrollar como parte de cada una de ellas.</w:t>
      </w:r>
    </w:p>
    <w:p w14:paraId="6A73A13B" w14:textId="77777777" w:rsidR="009E4AA1" w:rsidRDefault="005A671D">
      <w:pPr>
        <w:spacing w:line="360" w:lineRule="auto"/>
        <w:ind w:left="425"/>
        <w:jc w:val="center"/>
        <w:rPr>
          <w:rFonts w:ascii="Arial" w:eastAsia="Arial" w:hAnsi="Arial" w:cs="Arial"/>
          <w:b/>
          <w:sz w:val="24"/>
          <w:szCs w:val="24"/>
        </w:rPr>
      </w:pPr>
      <w:r>
        <w:rPr>
          <w:rFonts w:ascii="Arial" w:eastAsia="Arial" w:hAnsi="Arial" w:cs="Arial"/>
          <w:b/>
          <w:sz w:val="24"/>
          <w:szCs w:val="24"/>
        </w:rPr>
        <w:t>Tabla 1. Modelo de diseño, desarrollo y validación de Instrumento de  valoración de conocimientos y aptitudes docentes alineado a los Perfiles profesionales publicados en el Marco de excelencia</w:t>
      </w:r>
    </w:p>
    <w:tbl>
      <w:tblPr>
        <w:tblStyle w:val="a8"/>
        <w:tblW w:w="102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20"/>
      </w:tblGrid>
      <w:tr w:rsidR="009E4AA1" w14:paraId="35CFBB5F" w14:textId="77777777">
        <w:tc>
          <w:tcPr>
            <w:tcW w:w="1695" w:type="dxa"/>
            <w:shd w:val="clear" w:color="auto" w:fill="B7B7B7"/>
            <w:tcMar>
              <w:top w:w="100" w:type="dxa"/>
              <w:left w:w="100" w:type="dxa"/>
              <w:bottom w:w="100" w:type="dxa"/>
              <w:right w:w="100" w:type="dxa"/>
            </w:tcMar>
          </w:tcPr>
          <w:p w14:paraId="70FD39D0" w14:textId="77777777" w:rsidR="009E4AA1" w:rsidRDefault="005A671D">
            <w:pPr>
              <w:widowControl w:val="0"/>
              <w:spacing w:after="0" w:line="360" w:lineRule="auto"/>
              <w:jc w:val="center"/>
              <w:rPr>
                <w:rFonts w:ascii="Arial" w:eastAsia="Arial" w:hAnsi="Arial" w:cs="Arial"/>
                <w:b/>
                <w:sz w:val="18"/>
                <w:szCs w:val="18"/>
              </w:rPr>
            </w:pPr>
            <w:r>
              <w:rPr>
                <w:rFonts w:ascii="Arial" w:eastAsia="Arial" w:hAnsi="Arial" w:cs="Arial"/>
                <w:b/>
                <w:sz w:val="18"/>
                <w:szCs w:val="18"/>
              </w:rPr>
              <w:t>Fase</w:t>
            </w:r>
          </w:p>
        </w:tc>
        <w:tc>
          <w:tcPr>
            <w:tcW w:w="8520" w:type="dxa"/>
            <w:shd w:val="clear" w:color="auto" w:fill="B7B7B7"/>
            <w:tcMar>
              <w:top w:w="100" w:type="dxa"/>
              <w:left w:w="100" w:type="dxa"/>
              <w:bottom w:w="100" w:type="dxa"/>
              <w:right w:w="100" w:type="dxa"/>
            </w:tcMar>
          </w:tcPr>
          <w:p w14:paraId="3D9FC830" w14:textId="77777777" w:rsidR="009E4AA1" w:rsidRDefault="005A671D">
            <w:pPr>
              <w:widowControl w:val="0"/>
              <w:spacing w:after="0" w:line="360" w:lineRule="auto"/>
              <w:jc w:val="center"/>
              <w:rPr>
                <w:rFonts w:ascii="Arial" w:eastAsia="Arial" w:hAnsi="Arial" w:cs="Arial"/>
                <w:b/>
                <w:sz w:val="18"/>
                <w:szCs w:val="18"/>
              </w:rPr>
            </w:pPr>
            <w:r>
              <w:rPr>
                <w:rFonts w:ascii="Arial" w:eastAsia="Arial" w:hAnsi="Arial" w:cs="Arial"/>
                <w:b/>
                <w:sz w:val="18"/>
                <w:szCs w:val="18"/>
              </w:rPr>
              <w:t>Actividades a desarrollar</w:t>
            </w:r>
          </w:p>
        </w:tc>
      </w:tr>
      <w:tr w:rsidR="009E4AA1" w14:paraId="2044F863" w14:textId="77777777">
        <w:trPr>
          <w:trHeight w:val="440"/>
        </w:trPr>
        <w:tc>
          <w:tcPr>
            <w:tcW w:w="1695" w:type="dxa"/>
            <w:vMerge w:val="restart"/>
            <w:shd w:val="clear" w:color="auto" w:fill="auto"/>
            <w:tcMar>
              <w:top w:w="100" w:type="dxa"/>
              <w:left w:w="100" w:type="dxa"/>
              <w:bottom w:w="100" w:type="dxa"/>
              <w:right w:w="100" w:type="dxa"/>
            </w:tcMar>
            <w:vAlign w:val="center"/>
          </w:tcPr>
          <w:p w14:paraId="7D53EE7F" w14:textId="77777777" w:rsidR="009E4AA1" w:rsidRDefault="009E4AA1">
            <w:pPr>
              <w:widowControl w:val="0"/>
              <w:spacing w:after="0" w:line="360" w:lineRule="auto"/>
              <w:jc w:val="center"/>
              <w:rPr>
                <w:rFonts w:ascii="Arial" w:eastAsia="Arial" w:hAnsi="Arial" w:cs="Arial"/>
                <w:sz w:val="18"/>
                <w:szCs w:val="18"/>
              </w:rPr>
            </w:pPr>
          </w:p>
          <w:p w14:paraId="17F166D0" w14:textId="77777777" w:rsidR="009E4AA1" w:rsidRDefault="005A671D">
            <w:pPr>
              <w:widowControl w:val="0"/>
              <w:spacing w:after="0" w:line="360" w:lineRule="auto"/>
              <w:jc w:val="center"/>
              <w:rPr>
                <w:rFonts w:ascii="Arial" w:eastAsia="Arial" w:hAnsi="Arial" w:cs="Arial"/>
                <w:sz w:val="18"/>
                <w:szCs w:val="18"/>
              </w:rPr>
            </w:pPr>
            <w:r>
              <w:rPr>
                <w:rFonts w:ascii="Arial" w:eastAsia="Arial" w:hAnsi="Arial" w:cs="Arial"/>
                <w:sz w:val="18"/>
                <w:szCs w:val="18"/>
              </w:rPr>
              <w:t>I. Diseño</w:t>
            </w:r>
          </w:p>
        </w:tc>
        <w:tc>
          <w:tcPr>
            <w:tcW w:w="8520" w:type="dxa"/>
            <w:shd w:val="clear" w:color="auto" w:fill="auto"/>
            <w:tcMar>
              <w:top w:w="100" w:type="dxa"/>
              <w:left w:w="100" w:type="dxa"/>
              <w:bottom w:w="100" w:type="dxa"/>
              <w:right w:w="100" w:type="dxa"/>
            </w:tcMar>
            <w:vAlign w:val="center"/>
          </w:tcPr>
          <w:p w14:paraId="230209F6" w14:textId="77777777" w:rsidR="009E4AA1" w:rsidRDefault="005A671D">
            <w:pPr>
              <w:widowControl w:val="0"/>
              <w:spacing w:after="0" w:line="360" w:lineRule="auto"/>
              <w:jc w:val="both"/>
              <w:rPr>
                <w:rFonts w:ascii="Arial" w:eastAsia="Arial" w:hAnsi="Arial" w:cs="Arial"/>
                <w:sz w:val="18"/>
                <w:szCs w:val="18"/>
              </w:rPr>
            </w:pPr>
            <w:r>
              <w:rPr>
                <w:rFonts w:ascii="Arial" w:eastAsia="Arial" w:hAnsi="Arial" w:cs="Arial"/>
                <w:sz w:val="18"/>
                <w:szCs w:val="18"/>
              </w:rPr>
              <w:t>1.1. Crear el Comité técnico del desarrollo del instrumento de apreciación</w:t>
            </w:r>
          </w:p>
        </w:tc>
      </w:tr>
      <w:tr w:rsidR="009E4AA1" w14:paraId="100A964C" w14:textId="77777777">
        <w:trPr>
          <w:trHeight w:val="440"/>
        </w:trPr>
        <w:tc>
          <w:tcPr>
            <w:tcW w:w="1695" w:type="dxa"/>
            <w:vMerge/>
            <w:shd w:val="clear" w:color="auto" w:fill="auto"/>
            <w:tcMar>
              <w:top w:w="100" w:type="dxa"/>
              <w:left w:w="100" w:type="dxa"/>
              <w:bottom w:w="100" w:type="dxa"/>
              <w:right w:w="100" w:type="dxa"/>
            </w:tcMar>
            <w:vAlign w:val="center"/>
          </w:tcPr>
          <w:p w14:paraId="10F9B586" w14:textId="77777777" w:rsidR="009E4AA1" w:rsidRDefault="009E4AA1">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6B59B10" w14:textId="77777777" w:rsidR="009E4AA1" w:rsidRDefault="005A671D">
            <w:pPr>
              <w:widowControl w:val="0"/>
              <w:spacing w:after="0" w:line="360" w:lineRule="auto"/>
              <w:jc w:val="both"/>
              <w:rPr>
                <w:rFonts w:ascii="Arial" w:eastAsia="Arial" w:hAnsi="Arial" w:cs="Arial"/>
                <w:sz w:val="18"/>
                <w:szCs w:val="18"/>
              </w:rPr>
            </w:pPr>
            <w:r>
              <w:rPr>
                <w:rFonts w:ascii="Arial" w:eastAsia="Arial" w:hAnsi="Arial" w:cs="Arial"/>
                <w:sz w:val="18"/>
                <w:szCs w:val="18"/>
              </w:rPr>
              <w:t>1.2. Analizar los Perfiles profesionales y el contenido de la Ley General del Sistema para la Carrera de las Maestras y los Maestros</w:t>
            </w:r>
          </w:p>
        </w:tc>
      </w:tr>
      <w:tr w:rsidR="009E4AA1" w14:paraId="1DE1718C" w14:textId="77777777">
        <w:trPr>
          <w:trHeight w:val="440"/>
        </w:trPr>
        <w:tc>
          <w:tcPr>
            <w:tcW w:w="1695" w:type="dxa"/>
            <w:vMerge/>
            <w:shd w:val="clear" w:color="auto" w:fill="auto"/>
            <w:tcMar>
              <w:top w:w="100" w:type="dxa"/>
              <w:left w:w="100" w:type="dxa"/>
              <w:bottom w:w="100" w:type="dxa"/>
              <w:right w:w="100" w:type="dxa"/>
            </w:tcMar>
            <w:vAlign w:val="center"/>
          </w:tcPr>
          <w:p w14:paraId="0134A127" w14:textId="77777777" w:rsidR="009E4AA1" w:rsidRDefault="009E4AA1">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B1709D7" w14:textId="77777777" w:rsidR="009E4AA1" w:rsidRDefault="005A671D">
            <w:pPr>
              <w:widowControl w:val="0"/>
              <w:spacing w:after="0" w:line="360" w:lineRule="auto"/>
              <w:jc w:val="both"/>
              <w:rPr>
                <w:rFonts w:ascii="Arial" w:eastAsia="Arial" w:hAnsi="Arial" w:cs="Arial"/>
                <w:sz w:val="18"/>
                <w:szCs w:val="18"/>
              </w:rPr>
            </w:pPr>
            <w:r>
              <w:rPr>
                <w:rFonts w:ascii="Arial" w:eastAsia="Arial" w:hAnsi="Arial" w:cs="Arial"/>
                <w:sz w:val="18"/>
                <w:szCs w:val="18"/>
              </w:rPr>
              <w:t>1.3. Elaborar el Marco de Referencia y el Plan de Diseño, Desarrollo y Validación del instrumento de apreciación.</w:t>
            </w:r>
          </w:p>
        </w:tc>
      </w:tr>
      <w:tr w:rsidR="009E4AA1" w14:paraId="73DF7FA7" w14:textId="77777777">
        <w:trPr>
          <w:trHeight w:val="440"/>
        </w:trPr>
        <w:tc>
          <w:tcPr>
            <w:tcW w:w="1695" w:type="dxa"/>
            <w:vMerge/>
            <w:shd w:val="clear" w:color="auto" w:fill="auto"/>
            <w:tcMar>
              <w:top w:w="100" w:type="dxa"/>
              <w:left w:w="100" w:type="dxa"/>
              <w:bottom w:w="100" w:type="dxa"/>
              <w:right w:w="100" w:type="dxa"/>
            </w:tcMar>
            <w:vAlign w:val="center"/>
          </w:tcPr>
          <w:p w14:paraId="6CCDD123" w14:textId="77777777" w:rsidR="009E4AA1" w:rsidRDefault="009E4AA1">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EDD1E48" w14:textId="77777777" w:rsidR="009E4AA1" w:rsidRDefault="005A671D">
            <w:pPr>
              <w:widowControl w:val="0"/>
              <w:spacing w:after="0" w:line="360" w:lineRule="auto"/>
              <w:jc w:val="both"/>
              <w:rPr>
                <w:rFonts w:ascii="Arial" w:eastAsia="Arial" w:hAnsi="Arial" w:cs="Arial"/>
                <w:sz w:val="18"/>
                <w:szCs w:val="18"/>
              </w:rPr>
            </w:pPr>
            <w:r>
              <w:rPr>
                <w:rFonts w:ascii="Arial" w:eastAsia="Arial" w:hAnsi="Arial" w:cs="Arial"/>
                <w:sz w:val="18"/>
                <w:szCs w:val="18"/>
              </w:rPr>
              <w:t>1.4. Delimitar y alinear el contenido de los Perfiles profesionales con teoría sustantiva que respalde la definición de los rasgos a medir</w:t>
            </w:r>
          </w:p>
        </w:tc>
      </w:tr>
      <w:tr w:rsidR="009E4AA1" w14:paraId="2763E99A" w14:textId="77777777">
        <w:trPr>
          <w:trHeight w:val="440"/>
        </w:trPr>
        <w:tc>
          <w:tcPr>
            <w:tcW w:w="1695" w:type="dxa"/>
            <w:vMerge/>
            <w:shd w:val="clear" w:color="auto" w:fill="auto"/>
            <w:tcMar>
              <w:top w:w="100" w:type="dxa"/>
              <w:left w:w="100" w:type="dxa"/>
              <w:bottom w:w="100" w:type="dxa"/>
              <w:right w:w="100" w:type="dxa"/>
            </w:tcMar>
            <w:vAlign w:val="center"/>
          </w:tcPr>
          <w:p w14:paraId="60311F27" w14:textId="77777777" w:rsidR="009E4AA1" w:rsidRDefault="009E4AA1">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val="restart"/>
            <w:shd w:val="clear" w:color="auto" w:fill="auto"/>
            <w:tcMar>
              <w:top w:w="100" w:type="dxa"/>
              <w:left w:w="100" w:type="dxa"/>
              <w:bottom w:w="100" w:type="dxa"/>
              <w:right w:w="100" w:type="dxa"/>
            </w:tcMar>
            <w:vAlign w:val="center"/>
          </w:tcPr>
          <w:p w14:paraId="5785142D" w14:textId="77777777" w:rsidR="009E4AA1" w:rsidRDefault="005A671D">
            <w:pPr>
              <w:widowControl w:val="0"/>
              <w:spacing w:after="0" w:line="360" w:lineRule="auto"/>
              <w:jc w:val="both"/>
              <w:rPr>
                <w:rFonts w:ascii="Arial" w:eastAsia="Arial" w:hAnsi="Arial" w:cs="Arial"/>
                <w:sz w:val="18"/>
                <w:szCs w:val="18"/>
              </w:rPr>
            </w:pPr>
            <w:r>
              <w:rPr>
                <w:rFonts w:ascii="Arial" w:eastAsia="Arial" w:hAnsi="Arial" w:cs="Arial"/>
                <w:sz w:val="18"/>
                <w:szCs w:val="18"/>
              </w:rPr>
              <w:t>1.5. Definir la estructura interna y los componentes principales del instrumento de apreciación.</w:t>
            </w:r>
          </w:p>
        </w:tc>
      </w:tr>
      <w:tr w:rsidR="009E4AA1" w14:paraId="29121CD6" w14:textId="77777777">
        <w:trPr>
          <w:trHeight w:val="238"/>
        </w:trPr>
        <w:tc>
          <w:tcPr>
            <w:tcW w:w="1695" w:type="dxa"/>
            <w:vMerge/>
            <w:shd w:val="clear" w:color="auto" w:fill="auto"/>
            <w:tcMar>
              <w:top w:w="100" w:type="dxa"/>
              <w:left w:w="100" w:type="dxa"/>
              <w:bottom w:w="100" w:type="dxa"/>
              <w:right w:w="100" w:type="dxa"/>
            </w:tcMar>
            <w:vAlign w:val="center"/>
          </w:tcPr>
          <w:p w14:paraId="3F0577F6" w14:textId="77777777" w:rsidR="009E4AA1" w:rsidRDefault="009E4AA1">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4FD7E8FD" w14:textId="77777777" w:rsidR="009E4AA1" w:rsidRDefault="009E4AA1">
            <w:pPr>
              <w:widowControl w:val="0"/>
              <w:pBdr>
                <w:top w:val="nil"/>
                <w:left w:val="nil"/>
                <w:bottom w:val="nil"/>
                <w:right w:val="nil"/>
                <w:between w:val="nil"/>
              </w:pBdr>
              <w:spacing w:after="0" w:line="276" w:lineRule="auto"/>
              <w:rPr>
                <w:rFonts w:ascii="Arial" w:eastAsia="Arial" w:hAnsi="Arial" w:cs="Arial"/>
                <w:sz w:val="18"/>
                <w:szCs w:val="18"/>
              </w:rPr>
            </w:pPr>
          </w:p>
        </w:tc>
      </w:tr>
      <w:tr w:rsidR="009E4AA1" w14:paraId="5BECE494" w14:textId="77777777">
        <w:trPr>
          <w:trHeight w:val="238"/>
        </w:trPr>
        <w:tc>
          <w:tcPr>
            <w:tcW w:w="1695" w:type="dxa"/>
            <w:vMerge/>
            <w:shd w:val="clear" w:color="auto" w:fill="auto"/>
            <w:tcMar>
              <w:top w:w="100" w:type="dxa"/>
              <w:left w:w="100" w:type="dxa"/>
              <w:bottom w:w="100" w:type="dxa"/>
              <w:right w:w="100" w:type="dxa"/>
            </w:tcMar>
            <w:vAlign w:val="center"/>
          </w:tcPr>
          <w:p w14:paraId="36E8F8F0" w14:textId="77777777" w:rsidR="009E4AA1" w:rsidRDefault="009E4AA1">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22A2D5B2" w14:textId="77777777" w:rsidR="009E4AA1" w:rsidRDefault="009E4AA1">
            <w:pPr>
              <w:widowControl w:val="0"/>
              <w:pBdr>
                <w:top w:val="nil"/>
                <w:left w:val="nil"/>
                <w:bottom w:val="nil"/>
                <w:right w:val="nil"/>
                <w:between w:val="nil"/>
              </w:pBdr>
              <w:spacing w:after="0" w:line="276" w:lineRule="auto"/>
              <w:rPr>
                <w:rFonts w:ascii="Arial" w:eastAsia="Arial" w:hAnsi="Arial" w:cs="Arial"/>
                <w:sz w:val="18"/>
                <w:szCs w:val="18"/>
              </w:rPr>
            </w:pPr>
          </w:p>
        </w:tc>
      </w:tr>
      <w:tr w:rsidR="009E4AA1" w14:paraId="115D5137" w14:textId="77777777">
        <w:trPr>
          <w:trHeight w:val="440"/>
        </w:trPr>
        <w:tc>
          <w:tcPr>
            <w:tcW w:w="1695" w:type="dxa"/>
            <w:vMerge/>
            <w:shd w:val="clear" w:color="auto" w:fill="auto"/>
            <w:tcMar>
              <w:top w:w="100" w:type="dxa"/>
              <w:left w:w="100" w:type="dxa"/>
              <w:bottom w:w="100" w:type="dxa"/>
              <w:right w:w="100" w:type="dxa"/>
            </w:tcMar>
            <w:vAlign w:val="center"/>
          </w:tcPr>
          <w:p w14:paraId="2A09F695" w14:textId="77777777" w:rsidR="009E4AA1" w:rsidRDefault="009E4AA1">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B456C6C" w14:textId="77777777" w:rsidR="009E4AA1" w:rsidRDefault="005A671D">
            <w:pPr>
              <w:widowControl w:val="0"/>
              <w:spacing w:after="0" w:line="360" w:lineRule="auto"/>
              <w:jc w:val="both"/>
              <w:rPr>
                <w:rFonts w:ascii="Arial" w:eastAsia="Arial" w:hAnsi="Arial" w:cs="Arial"/>
                <w:sz w:val="18"/>
                <w:szCs w:val="18"/>
              </w:rPr>
            </w:pPr>
            <w:r>
              <w:rPr>
                <w:rFonts w:ascii="Arial" w:eastAsia="Arial" w:hAnsi="Arial" w:cs="Arial"/>
                <w:sz w:val="18"/>
                <w:szCs w:val="18"/>
              </w:rPr>
              <w:t>1.6. Crear el Comité de Expertos para la validación del Diseño (CEVDI) del instrumento de apreciación</w:t>
            </w:r>
          </w:p>
        </w:tc>
      </w:tr>
      <w:tr w:rsidR="009E4AA1" w14:paraId="73EA2DD1" w14:textId="77777777">
        <w:trPr>
          <w:trHeight w:val="440"/>
        </w:trPr>
        <w:tc>
          <w:tcPr>
            <w:tcW w:w="1695" w:type="dxa"/>
            <w:vMerge/>
            <w:shd w:val="clear" w:color="auto" w:fill="auto"/>
            <w:tcMar>
              <w:top w:w="100" w:type="dxa"/>
              <w:left w:w="100" w:type="dxa"/>
              <w:bottom w:w="100" w:type="dxa"/>
              <w:right w:w="100" w:type="dxa"/>
            </w:tcMar>
            <w:vAlign w:val="center"/>
          </w:tcPr>
          <w:p w14:paraId="440166A0" w14:textId="77777777" w:rsidR="009E4AA1" w:rsidRDefault="009E4AA1">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4CAD215" w14:textId="77777777" w:rsidR="009E4AA1" w:rsidRDefault="005A671D">
            <w:pPr>
              <w:widowControl w:val="0"/>
              <w:spacing w:after="0" w:line="360" w:lineRule="auto"/>
              <w:jc w:val="both"/>
              <w:rPr>
                <w:rFonts w:ascii="Arial" w:eastAsia="Arial" w:hAnsi="Arial" w:cs="Arial"/>
                <w:sz w:val="18"/>
                <w:szCs w:val="18"/>
              </w:rPr>
            </w:pPr>
            <w:r>
              <w:rPr>
                <w:rFonts w:ascii="Arial" w:eastAsia="Arial" w:hAnsi="Arial" w:cs="Arial"/>
                <w:sz w:val="18"/>
                <w:szCs w:val="18"/>
              </w:rPr>
              <w:t>1.7. Someter el Marco de Referencia, el Plan de Diseño, Desarrollo y Validación y la propuesta de estructura interna a revisión y validación por parte del CEVDI</w:t>
            </w:r>
          </w:p>
        </w:tc>
      </w:tr>
      <w:tr w:rsidR="009E4AA1" w14:paraId="1011B012" w14:textId="77777777">
        <w:trPr>
          <w:trHeight w:val="440"/>
        </w:trPr>
        <w:tc>
          <w:tcPr>
            <w:tcW w:w="1695" w:type="dxa"/>
            <w:vMerge/>
            <w:shd w:val="clear" w:color="auto" w:fill="auto"/>
            <w:tcMar>
              <w:top w:w="100" w:type="dxa"/>
              <w:left w:w="100" w:type="dxa"/>
              <w:bottom w:w="100" w:type="dxa"/>
              <w:right w:w="100" w:type="dxa"/>
            </w:tcMar>
            <w:vAlign w:val="center"/>
          </w:tcPr>
          <w:p w14:paraId="79ECA1FC" w14:textId="77777777" w:rsidR="009E4AA1" w:rsidRDefault="009E4AA1">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60F3284" w14:textId="77777777" w:rsidR="009E4AA1" w:rsidRDefault="005A671D">
            <w:pPr>
              <w:widowControl w:val="0"/>
              <w:spacing w:after="0" w:line="360" w:lineRule="auto"/>
              <w:jc w:val="both"/>
              <w:rPr>
                <w:rFonts w:ascii="Arial" w:eastAsia="Arial" w:hAnsi="Arial" w:cs="Arial"/>
                <w:sz w:val="18"/>
                <w:szCs w:val="18"/>
              </w:rPr>
            </w:pPr>
            <w:r>
              <w:rPr>
                <w:rFonts w:ascii="Arial" w:eastAsia="Arial" w:hAnsi="Arial" w:cs="Arial"/>
                <w:sz w:val="18"/>
                <w:szCs w:val="18"/>
              </w:rPr>
              <w:t>1.8. Ajustar los documentos sujetos a revisión con base en la valoración y retroalimentación proporcionada por el CEVDI.</w:t>
            </w:r>
          </w:p>
        </w:tc>
      </w:tr>
      <w:tr w:rsidR="009E4AA1" w14:paraId="45C1E38B" w14:textId="77777777">
        <w:trPr>
          <w:trHeight w:val="440"/>
        </w:trPr>
        <w:tc>
          <w:tcPr>
            <w:tcW w:w="1695" w:type="dxa"/>
            <w:vMerge/>
            <w:shd w:val="clear" w:color="auto" w:fill="auto"/>
            <w:tcMar>
              <w:top w:w="100" w:type="dxa"/>
              <w:left w:w="100" w:type="dxa"/>
              <w:bottom w:w="100" w:type="dxa"/>
              <w:right w:w="100" w:type="dxa"/>
            </w:tcMar>
            <w:vAlign w:val="center"/>
          </w:tcPr>
          <w:p w14:paraId="119C6C46" w14:textId="77777777" w:rsidR="009E4AA1" w:rsidRDefault="009E4AA1">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8F262B7" w14:textId="77777777" w:rsidR="009E4AA1" w:rsidRDefault="005A671D">
            <w:pPr>
              <w:widowControl w:val="0"/>
              <w:spacing w:after="0" w:line="360" w:lineRule="auto"/>
              <w:jc w:val="both"/>
              <w:rPr>
                <w:rFonts w:ascii="Arial" w:eastAsia="Arial" w:hAnsi="Arial" w:cs="Arial"/>
                <w:sz w:val="18"/>
                <w:szCs w:val="18"/>
              </w:rPr>
            </w:pPr>
            <w:r>
              <w:rPr>
                <w:rFonts w:ascii="Arial" w:eastAsia="Arial" w:hAnsi="Arial" w:cs="Arial"/>
                <w:sz w:val="18"/>
                <w:szCs w:val="18"/>
              </w:rPr>
              <w:t>1.9. Elaborar como primer producto el modelo nomológico y el modelo cognitivo que orientará el desarrollo del instrumento de apreciación</w:t>
            </w:r>
          </w:p>
        </w:tc>
      </w:tr>
      <w:tr w:rsidR="009E4AA1" w14:paraId="739E25EB" w14:textId="77777777">
        <w:trPr>
          <w:trHeight w:val="525"/>
        </w:trPr>
        <w:tc>
          <w:tcPr>
            <w:tcW w:w="1695" w:type="dxa"/>
            <w:vMerge w:val="restart"/>
            <w:shd w:val="clear" w:color="auto" w:fill="auto"/>
            <w:tcMar>
              <w:top w:w="100" w:type="dxa"/>
              <w:left w:w="100" w:type="dxa"/>
              <w:bottom w:w="100" w:type="dxa"/>
              <w:right w:w="100" w:type="dxa"/>
            </w:tcMar>
            <w:vAlign w:val="center"/>
          </w:tcPr>
          <w:p w14:paraId="3A4315E7" w14:textId="77777777" w:rsidR="009E4AA1" w:rsidRDefault="005A671D">
            <w:pPr>
              <w:widowControl w:val="0"/>
              <w:spacing w:after="0" w:line="360" w:lineRule="auto"/>
              <w:jc w:val="center"/>
              <w:rPr>
                <w:rFonts w:ascii="Arial" w:eastAsia="Arial" w:hAnsi="Arial" w:cs="Arial"/>
                <w:sz w:val="18"/>
                <w:szCs w:val="18"/>
              </w:rPr>
            </w:pPr>
            <w:r>
              <w:rPr>
                <w:rFonts w:ascii="Arial" w:eastAsia="Arial" w:hAnsi="Arial" w:cs="Arial"/>
                <w:sz w:val="18"/>
                <w:szCs w:val="18"/>
              </w:rPr>
              <w:lastRenderedPageBreak/>
              <w:t>II. Desarrollo</w:t>
            </w:r>
          </w:p>
        </w:tc>
        <w:tc>
          <w:tcPr>
            <w:tcW w:w="8520" w:type="dxa"/>
            <w:shd w:val="clear" w:color="auto" w:fill="auto"/>
            <w:tcMar>
              <w:top w:w="100" w:type="dxa"/>
              <w:left w:w="100" w:type="dxa"/>
              <w:bottom w:w="100" w:type="dxa"/>
              <w:right w:w="100" w:type="dxa"/>
            </w:tcMar>
            <w:vAlign w:val="center"/>
          </w:tcPr>
          <w:p w14:paraId="3AAC008E" w14:textId="77777777" w:rsidR="009E4AA1" w:rsidRDefault="005A671D">
            <w:pPr>
              <w:widowControl w:val="0"/>
              <w:spacing w:after="0" w:line="360" w:lineRule="auto"/>
              <w:jc w:val="both"/>
              <w:rPr>
                <w:rFonts w:ascii="Arial" w:eastAsia="Arial" w:hAnsi="Arial" w:cs="Arial"/>
                <w:sz w:val="18"/>
                <w:szCs w:val="18"/>
              </w:rPr>
            </w:pPr>
            <w:r>
              <w:rPr>
                <w:rFonts w:ascii="Arial" w:eastAsia="Arial" w:hAnsi="Arial" w:cs="Arial"/>
                <w:sz w:val="18"/>
                <w:szCs w:val="18"/>
              </w:rPr>
              <w:t>2.1. Desarrollo de la matriz de especificaciones</w:t>
            </w:r>
          </w:p>
        </w:tc>
      </w:tr>
      <w:tr w:rsidR="009E4AA1" w14:paraId="112096A4" w14:textId="77777777">
        <w:trPr>
          <w:trHeight w:val="480"/>
        </w:trPr>
        <w:tc>
          <w:tcPr>
            <w:tcW w:w="1695" w:type="dxa"/>
            <w:vMerge/>
            <w:shd w:val="clear" w:color="auto" w:fill="auto"/>
            <w:tcMar>
              <w:top w:w="100" w:type="dxa"/>
              <w:left w:w="100" w:type="dxa"/>
              <w:bottom w:w="100" w:type="dxa"/>
              <w:right w:w="100" w:type="dxa"/>
            </w:tcMar>
            <w:vAlign w:val="center"/>
          </w:tcPr>
          <w:p w14:paraId="15219C83" w14:textId="77777777" w:rsidR="009E4AA1" w:rsidRDefault="009E4AA1">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57E160C" w14:textId="77777777" w:rsidR="009E4AA1" w:rsidRDefault="005A671D">
            <w:pPr>
              <w:widowControl w:val="0"/>
              <w:spacing w:after="0" w:line="360" w:lineRule="auto"/>
              <w:jc w:val="both"/>
              <w:rPr>
                <w:rFonts w:ascii="Arial" w:eastAsia="Arial" w:hAnsi="Arial" w:cs="Arial"/>
                <w:sz w:val="18"/>
                <w:szCs w:val="18"/>
              </w:rPr>
            </w:pPr>
            <w:r>
              <w:rPr>
                <w:rFonts w:ascii="Arial" w:eastAsia="Arial" w:hAnsi="Arial" w:cs="Arial"/>
                <w:sz w:val="18"/>
                <w:szCs w:val="18"/>
              </w:rPr>
              <w:t>2.2. Elaborar las primeras versiones de los ítems</w:t>
            </w:r>
          </w:p>
        </w:tc>
      </w:tr>
      <w:tr w:rsidR="009E4AA1" w14:paraId="112C93E6" w14:textId="77777777">
        <w:trPr>
          <w:trHeight w:val="480"/>
        </w:trPr>
        <w:tc>
          <w:tcPr>
            <w:tcW w:w="1695" w:type="dxa"/>
            <w:vMerge/>
            <w:shd w:val="clear" w:color="auto" w:fill="auto"/>
            <w:tcMar>
              <w:top w:w="100" w:type="dxa"/>
              <w:left w:w="100" w:type="dxa"/>
              <w:bottom w:w="100" w:type="dxa"/>
              <w:right w:w="100" w:type="dxa"/>
            </w:tcMar>
            <w:vAlign w:val="center"/>
          </w:tcPr>
          <w:p w14:paraId="2A3FC19C" w14:textId="77777777" w:rsidR="009E4AA1" w:rsidRDefault="009E4AA1">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AF341B4" w14:textId="77777777" w:rsidR="009E4AA1" w:rsidRDefault="005A671D">
            <w:pPr>
              <w:widowControl w:val="0"/>
              <w:spacing w:after="0" w:line="360" w:lineRule="auto"/>
              <w:jc w:val="both"/>
              <w:rPr>
                <w:rFonts w:ascii="Arial" w:eastAsia="Arial" w:hAnsi="Arial" w:cs="Arial"/>
                <w:sz w:val="18"/>
                <w:szCs w:val="18"/>
              </w:rPr>
            </w:pPr>
            <w:r>
              <w:rPr>
                <w:rFonts w:ascii="Arial" w:eastAsia="Arial" w:hAnsi="Arial" w:cs="Arial"/>
                <w:sz w:val="18"/>
                <w:szCs w:val="18"/>
              </w:rPr>
              <w:t>2.3. Crear el Comité de Expertos para la Validación del Desarrollo de los Ítems (CVEDEI)</w:t>
            </w:r>
          </w:p>
        </w:tc>
      </w:tr>
      <w:tr w:rsidR="009E4AA1" w14:paraId="38860F50" w14:textId="77777777">
        <w:trPr>
          <w:trHeight w:val="480"/>
        </w:trPr>
        <w:tc>
          <w:tcPr>
            <w:tcW w:w="1695" w:type="dxa"/>
            <w:vMerge/>
            <w:shd w:val="clear" w:color="auto" w:fill="auto"/>
            <w:tcMar>
              <w:top w:w="100" w:type="dxa"/>
              <w:left w:w="100" w:type="dxa"/>
              <w:bottom w:w="100" w:type="dxa"/>
              <w:right w:w="100" w:type="dxa"/>
            </w:tcMar>
            <w:vAlign w:val="center"/>
          </w:tcPr>
          <w:p w14:paraId="76329B9E" w14:textId="77777777" w:rsidR="009E4AA1" w:rsidRDefault="009E4AA1">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E88FE07" w14:textId="77777777" w:rsidR="009E4AA1" w:rsidRDefault="005A671D">
            <w:pPr>
              <w:widowControl w:val="0"/>
              <w:spacing w:after="0" w:line="360" w:lineRule="auto"/>
              <w:jc w:val="both"/>
              <w:rPr>
                <w:rFonts w:ascii="Arial" w:eastAsia="Arial" w:hAnsi="Arial" w:cs="Arial"/>
                <w:sz w:val="18"/>
                <w:szCs w:val="18"/>
              </w:rPr>
            </w:pPr>
            <w:r>
              <w:rPr>
                <w:rFonts w:ascii="Arial" w:eastAsia="Arial" w:hAnsi="Arial" w:cs="Arial"/>
                <w:sz w:val="18"/>
                <w:szCs w:val="18"/>
              </w:rPr>
              <w:t>2.4.Someter las primeras versiones de los ítems a revisión por el CVEDEI</w:t>
            </w:r>
          </w:p>
        </w:tc>
      </w:tr>
      <w:tr w:rsidR="009E4AA1" w14:paraId="70951AD7" w14:textId="77777777">
        <w:trPr>
          <w:trHeight w:val="480"/>
        </w:trPr>
        <w:tc>
          <w:tcPr>
            <w:tcW w:w="1695" w:type="dxa"/>
            <w:vMerge/>
            <w:shd w:val="clear" w:color="auto" w:fill="auto"/>
            <w:tcMar>
              <w:top w:w="100" w:type="dxa"/>
              <w:left w:w="100" w:type="dxa"/>
              <w:bottom w:w="100" w:type="dxa"/>
              <w:right w:w="100" w:type="dxa"/>
            </w:tcMar>
            <w:vAlign w:val="center"/>
          </w:tcPr>
          <w:p w14:paraId="0A062F75" w14:textId="77777777" w:rsidR="009E4AA1" w:rsidRDefault="009E4AA1">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A57423E" w14:textId="77777777" w:rsidR="009E4AA1" w:rsidRDefault="005A671D">
            <w:pPr>
              <w:widowControl w:val="0"/>
              <w:spacing w:after="0" w:line="360" w:lineRule="auto"/>
              <w:jc w:val="both"/>
              <w:rPr>
                <w:rFonts w:ascii="Arial" w:eastAsia="Arial" w:hAnsi="Arial" w:cs="Arial"/>
                <w:sz w:val="18"/>
                <w:szCs w:val="18"/>
              </w:rPr>
            </w:pPr>
            <w:r>
              <w:rPr>
                <w:rFonts w:ascii="Arial" w:eastAsia="Arial" w:hAnsi="Arial" w:cs="Arial"/>
                <w:sz w:val="18"/>
                <w:szCs w:val="18"/>
              </w:rPr>
              <w:t>2.5. Ajustar los ítems con base en la valoración de los ítems y la retroalimentación otorgada por el CVEDEI.</w:t>
            </w:r>
          </w:p>
        </w:tc>
      </w:tr>
      <w:tr w:rsidR="009E4AA1" w14:paraId="5076A1C2" w14:textId="77777777">
        <w:trPr>
          <w:trHeight w:val="480"/>
        </w:trPr>
        <w:tc>
          <w:tcPr>
            <w:tcW w:w="1695" w:type="dxa"/>
            <w:vMerge/>
            <w:shd w:val="clear" w:color="auto" w:fill="auto"/>
            <w:tcMar>
              <w:top w:w="100" w:type="dxa"/>
              <w:left w:w="100" w:type="dxa"/>
              <w:bottom w:w="100" w:type="dxa"/>
              <w:right w:w="100" w:type="dxa"/>
            </w:tcMar>
            <w:vAlign w:val="center"/>
          </w:tcPr>
          <w:p w14:paraId="23338D8A" w14:textId="77777777" w:rsidR="009E4AA1" w:rsidRDefault="009E4AA1">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BC99C1C" w14:textId="77777777" w:rsidR="009E4AA1" w:rsidRDefault="005A671D">
            <w:pPr>
              <w:widowControl w:val="0"/>
              <w:spacing w:after="0" w:line="360" w:lineRule="auto"/>
              <w:jc w:val="both"/>
              <w:rPr>
                <w:rFonts w:ascii="Arial" w:eastAsia="Arial" w:hAnsi="Arial" w:cs="Arial"/>
                <w:sz w:val="18"/>
                <w:szCs w:val="18"/>
              </w:rPr>
            </w:pPr>
            <w:r>
              <w:rPr>
                <w:rFonts w:ascii="Arial" w:eastAsia="Arial" w:hAnsi="Arial" w:cs="Arial"/>
                <w:sz w:val="18"/>
                <w:szCs w:val="18"/>
              </w:rPr>
              <w:t>2.6. Pilotear los ítems con Jueces expertos que respondan el instrumento utilizando protocolos de resolución en voz alta</w:t>
            </w:r>
          </w:p>
        </w:tc>
      </w:tr>
      <w:tr w:rsidR="009E4AA1" w14:paraId="23311F70" w14:textId="77777777">
        <w:trPr>
          <w:trHeight w:val="480"/>
        </w:trPr>
        <w:tc>
          <w:tcPr>
            <w:tcW w:w="1695" w:type="dxa"/>
            <w:vMerge/>
            <w:shd w:val="clear" w:color="auto" w:fill="auto"/>
            <w:tcMar>
              <w:top w:w="100" w:type="dxa"/>
              <w:left w:w="100" w:type="dxa"/>
              <w:bottom w:w="100" w:type="dxa"/>
              <w:right w:w="100" w:type="dxa"/>
            </w:tcMar>
            <w:vAlign w:val="center"/>
          </w:tcPr>
          <w:p w14:paraId="7228632B" w14:textId="77777777" w:rsidR="009E4AA1" w:rsidRDefault="009E4AA1">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27164B5" w14:textId="77777777" w:rsidR="009E4AA1" w:rsidRDefault="005A671D">
            <w:pPr>
              <w:widowControl w:val="0"/>
              <w:spacing w:after="0" w:line="360" w:lineRule="auto"/>
              <w:jc w:val="both"/>
              <w:rPr>
                <w:rFonts w:ascii="Arial" w:eastAsia="Arial" w:hAnsi="Arial" w:cs="Arial"/>
                <w:sz w:val="18"/>
                <w:szCs w:val="18"/>
              </w:rPr>
            </w:pPr>
            <w:r>
              <w:rPr>
                <w:rFonts w:ascii="Arial" w:eastAsia="Arial" w:hAnsi="Arial" w:cs="Arial"/>
                <w:sz w:val="18"/>
                <w:szCs w:val="18"/>
              </w:rPr>
              <w:t>2.7. Ajustar las versiones de los ítems en función a la información recolectada a partir de la resolución de los mismos por el grupo de jueces</w:t>
            </w:r>
          </w:p>
        </w:tc>
      </w:tr>
      <w:tr w:rsidR="009E4AA1" w14:paraId="2F6982AB" w14:textId="77777777">
        <w:trPr>
          <w:trHeight w:val="440"/>
        </w:trPr>
        <w:tc>
          <w:tcPr>
            <w:tcW w:w="1695" w:type="dxa"/>
            <w:vMerge/>
            <w:shd w:val="clear" w:color="auto" w:fill="auto"/>
            <w:tcMar>
              <w:top w:w="100" w:type="dxa"/>
              <w:left w:w="100" w:type="dxa"/>
              <w:bottom w:w="100" w:type="dxa"/>
              <w:right w:w="100" w:type="dxa"/>
            </w:tcMar>
            <w:vAlign w:val="center"/>
          </w:tcPr>
          <w:p w14:paraId="2E8FE18F" w14:textId="77777777" w:rsidR="009E4AA1" w:rsidRDefault="009E4AA1">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0CCE491" w14:textId="77777777" w:rsidR="009E4AA1" w:rsidRDefault="005A671D">
            <w:pPr>
              <w:widowControl w:val="0"/>
              <w:spacing w:after="0" w:line="360" w:lineRule="auto"/>
              <w:jc w:val="both"/>
              <w:rPr>
                <w:rFonts w:ascii="Arial" w:eastAsia="Arial" w:hAnsi="Arial" w:cs="Arial"/>
                <w:sz w:val="18"/>
                <w:szCs w:val="18"/>
              </w:rPr>
            </w:pPr>
            <w:r>
              <w:rPr>
                <w:rFonts w:ascii="Arial" w:eastAsia="Arial" w:hAnsi="Arial" w:cs="Arial"/>
                <w:sz w:val="18"/>
                <w:szCs w:val="18"/>
              </w:rPr>
              <w:t>2.8. Pilotear los ítems con una muestra pequeña de sustentantes, aplicando un protocolo de Laboratorio Cognitivo donde se recojan evidencias de procesos de respuesta</w:t>
            </w:r>
          </w:p>
        </w:tc>
      </w:tr>
      <w:tr w:rsidR="009E4AA1" w14:paraId="70B8BD17" w14:textId="77777777">
        <w:trPr>
          <w:trHeight w:val="440"/>
        </w:trPr>
        <w:tc>
          <w:tcPr>
            <w:tcW w:w="1695" w:type="dxa"/>
            <w:vMerge/>
            <w:shd w:val="clear" w:color="auto" w:fill="auto"/>
            <w:tcMar>
              <w:top w:w="100" w:type="dxa"/>
              <w:left w:w="100" w:type="dxa"/>
              <w:bottom w:w="100" w:type="dxa"/>
              <w:right w:w="100" w:type="dxa"/>
            </w:tcMar>
            <w:vAlign w:val="center"/>
          </w:tcPr>
          <w:p w14:paraId="7DC6947D" w14:textId="77777777" w:rsidR="009E4AA1" w:rsidRDefault="009E4AA1">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63B6C5B" w14:textId="77777777" w:rsidR="009E4AA1" w:rsidRDefault="005A671D">
            <w:pPr>
              <w:widowControl w:val="0"/>
              <w:spacing w:after="0" w:line="360" w:lineRule="auto"/>
              <w:jc w:val="both"/>
              <w:rPr>
                <w:rFonts w:ascii="Arial" w:eastAsia="Arial" w:hAnsi="Arial" w:cs="Arial"/>
                <w:sz w:val="18"/>
                <w:szCs w:val="18"/>
              </w:rPr>
            </w:pPr>
            <w:r>
              <w:rPr>
                <w:rFonts w:ascii="Arial" w:eastAsia="Arial" w:hAnsi="Arial" w:cs="Arial"/>
                <w:sz w:val="18"/>
                <w:szCs w:val="18"/>
              </w:rPr>
              <w:t>2.9. Ajustar las versiones de los ítems en función a la información recolectada sobre los procesos de respuesta evocados en el laboratorio cognitivo.</w:t>
            </w:r>
          </w:p>
        </w:tc>
      </w:tr>
      <w:tr w:rsidR="009E4AA1" w14:paraId="4085D344" w14:textId="77777777">
        <w:trPr>
          <w:trHeight w:val="440"/>
        </w:trPr>
        <w:tc>
          <w:tcPr>
            <w:tcW w:w="1695" w:type="dxa"/>
            <w:vMerge/>
            <w:shd w:val="clear" w:color="auto" w:fill="auto"/>
            <w:tcMar>
              <w:top w:w="100" w:type="dxa"/>
              <w:left w:w="100" w:type="dxa"/>
              <w:bottom w:w="100" w:type="dxa"/>
              <w:right w:w="100" w:type="dxa"/>
            </w:tcMar>
            <w:vAlign w:val="center"/>
          </w:tcPr>
          <w:p w14:paraId="7A3B19FB" w14:textId="77777777" w:rsidR="009E4AA1" w:rsidRDefault="009E4AA1">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860B17D" w14:textId="77777777" w:rsidR="009E4AA1" w:rsidRDefault="005A671D">
            <w:pPr>
              <w:widowControl w:val="0"/>
              <w:spacing w:after="0" w:line="360" w:lineRule="auto"/>
              <w:jc w:val="both"/>
              <w:rPr>
                <w:rFonts w:ascii="Arial" w:eastAsia="Arial" w:hAnsi="Arial" w:cs="Arial"/>
                <w:sz w:val="18"/>
                <w:szCs w:val="18"/>
              </w:rPr>
            </w:pPr>
            <w:r>
              <w:rPr>
                <w:rFonts w:ascii="Arial" w:eastAsia="Arial" w:hAnsi="Arial" w:cs="Arial"/>
                <w:sz w:val="18"/>
                <w:szCs w:val="18"/>
              </w:rPr>
              <w:t>2.10. Ensamblar las primeras versiones del instrumento.</w:t>
            </w:r>
          </w:p>
        </w:tc>
      </w:tr>
      <w:tr w:rsidR="009E4AA1" w14:paraId="18ADFE4D" w14:textId="77777777">
        <w:trPr>
          <w:trHeight w:val="440"/>
        </w:trPr>
        <w:tc>
          <w:tcPr>
            <w:tcW w:w="1695" w:type="dxa"/>
            <w:vMerge w:val="restart"/>
            <w:shd w:val="clear" w:color="auto" w:fill="auto"/>
            <w:tcMar>
              <w:top w:w="100" w:type="dxa"/>
              <w:left w:w="100" w:type="dxa"/>
              <w:bottom w:w="100" w:type="dxa"/>
              <w:right w:w="100" w:type="dxa"/>
            </w:tcMar>
            <w:vAlign w:val="center"/>
          </w:tcPr>
          <w:p w14:paraId="69069CC9" w14:textId="77777777" w:rsidR="009E4AA1" w:rsidRDefault="005A671D">
            <w:pPr>
              <w:widowControl w:val="0"/>
              <w:spacing w:after="0" w:line="360" w:lineRule="auto"/>
              <w:jc w:val="center"/>
              <w:rPr>
                <w:rFonts w:ascii="Arial" w:eastAsia="Arial" w:hAnsi="Arial" w:cs="Arial"/>
                <w:sz w:val="18"/>
                <w:szCs w:val="18"/>
              </w:rPr>
            </w:pPr>
            <w:r>
              <w:rPr>
                <w:rFonts w:ascii="Arial" w:eastAsia="Arial" w:hAnsi="Arial" w:cs="Arial"/>
                <w:sz w:val="18"/>
                <w:szCs w:val="18"/>
              </w:rPr>
              <w:t>III, Validación</w:t>
            </w:r>
          </w:p>
        </w:tc>
        <w:tc>
          <w:tcPr>
            <w:tcW w:w="8520" w:type="dxa"/>
            <w:shd w:val="clear" w:color="auto" w:fill="auto"/>
            <w:tcMar>
              <w:top w:w="100" w:type="dxa"/>
              <w:left w:w="100" w:type="dxa"/>
              <w:bottom w:w="100" w:type="dxa"/>
              <w:right w:w="100" w:type="dxa"/>
            </w:tcMar>
            <w:vAlign w:val="center"/>
          </w:tcPr>
          <w:p w14:paraId="3DB9B6FE" w14:textId="77777777" w:rsidR="009E4AA1" w:rsidRDefault="005A671D">
            <w:pPr>
              <w:widowControl w:val="0"/>
              <w:spacing w:after="0" w:line="360" w:lineRule="auto"/>
              <w:jc w:val="both"/>
              <w:rPr>
                <w:rFonts w:ascii="Arial" w:eastAsia="Arial" w:hAnsi="Arial" w:cs="Arial"/>
                <w:sz w:val="18"/>
                <w:szCs w:val="18"/>
              </w:rPr>
            </w:pPr>
            <w:r>
              <w:rPr>
                <w:rFonts w:ascii="Arial" w:eastAsia="Arial" w:hAnsi="Arial" w:cs="Arial"/>
                <w:sz w:val="18"/>
                <w:szCs w:val="18"/>
              </w:rPr>
              <w:t>3.1. Crear el Comité de Expertos para la Validación del Contenido de los Ítems (CEVCI)</w:t>
            </w:r>
          </w:p>
        </w:tc>
      </w:tr>
      <w:tr w:rsidR="009E4AA1" w14:paraId="23C4019B" w14:textId="77777777">
        <w:trPr>
          <w:trHeight w:val="440"/>
        </w:trPr>
        <w:tc>
          <w:tcPr>
            <w:tcW w:w="1695" w:type="dxa"/>
            <w:vMerge/>
            <w:shd w:val="clear" w:color="auto" w:fill="auto"/>
            <w:tcMar>
              <w:top w:w="100" w:type="dxa"/>
              <w:left w:w="100" w:type="dxa"/>
              <w:bottom w:w="100" w:type="dxa"/>
              <w:right w:w="100" w:type="dxa"/>
            </w:tcMar>
            <w:vAlign w:val="center"/>
          </w:tcPr>
          <w:p w14:paraId="66018326" w14:textId="77777777" w:rsidR="009E4AA1" w:rsidRDefault="009E4AA1">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31124F7" w14:textId="77777777" w:rsidR="009E4AA1" w:rsidRDefault="005A671D">
            <w:pPr>
              <w:widowControl w:val="0"/>
              <w:spacing w:after="0" w:line="360" w:lineRule="auto"/>
              <w:jc w:val="both"/>
              <w:rPr>
                <w:rFonts w:ascii="Arial" w:eastAsia="Arial" w:hAnsi="Arial" w:cs="Arial"/>
                <w:sz w:val="18"/>
                <w:szCs w:val="18"/>
              </w:rPr>
            </w:pPr>
            <w:r>
              <w:rPr>
                <w:rFonts w:ascii="Arial" w:eastAsia="Arial" w:hAnsi="Arial" w:cs="Arial"/>
                <w:sz w:val="18"/>
                <w:szCs w:val="18"/>
              </w:rPr>
              <w:t>3.2. Someter las versiones ensambladas a revisión y validación por parte del CEVCI</w:t>
            </w:r>
          </w:p>
        </w:tc>
      </w:tr>
      <w:tr w:rsidR="009E4AA1" w14:paraId="52DC0ED8" w14:textId="77777777">
        <w:trPr>
          <w:trHeight w:val="440"/>
        </w:trPr>
        <w:tc>
          <w:tcPr>
            <w:tcW w:w="1695" w:type="dxa"/>
            <w:vMerge/>
            <w:shd w:val="clear" w:color="auto" w:fill="auto"/>
            <w:tcMar>
              <w:top w:w="100" w:type="dxa"/>
              <w:left w:w="100" w:type="dxa"/>
              <w:bottom w:w="100" w:type="dxa"/>
              <w:right w:w="100" w:type="dxa"/>
            </w:tcMar>
            <w:vAlign w:val="center"/>
          </w:tcPr>
          <w:p w14:paraId="317E6409" w14:textId="77777777" w:rsidR="009E4AA1" w:rsidRDefault="009E4AA1">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8D0871B" w14:textId="77777777" w:rsidR="009E4AA1" w:rsidRDefault="005A671D">
            <w:pPr>
              <w:widowControl w:val="0"/>
              <w:spacing w:after="0" w:line="360" w:lineRule="auto"/>
              <w:jc w:val="both"/>
              <w:rPr>
                <w:rFonts w:ascii="Arial" w:eastAsia="Arial" w:hAnsi="Arial" w:cs="Arial"/>
                <w:sz w:val="18"/>
                <w:szCs w:val="18"/>
              </w:rPr>
            </w:pPr>
            <w:r>
              <w:rPr>
                <w:rFonts w:ascii="Arial" w:eastAsia="Arial" w:hAnsi="Arial" w:cs="Arial"/>
                <w:sz w:val="18"/>
                <w:szCs w:val="18"/>
              </w:rPr>
              <w:t>3.3. Ajustar los ítems con base en la valoración y la retroalimentación  realizada por el CEVCI.</w:t>
            </w:r>
          </w:p>
        </w:tc>
      </w:tr>
      <w:tr w:rsidR="009E4AA1" w14:paraId="1A6EE08F" w14:textId="77777777">
        <w:trPr>
          <w:trHeight w:val="440"/>
        </w:trPr>
        <w:tc>
          <w:tcPr>
            <w:tcW w:w="1695" w:type="dxa"/>
            <w:vMerge/>
            <w:shd w:val="clear" w:color="auto" w:fill="auto"/>
            <w:tcMar>
              <w:top w:w="100" w:type="dxa"/>
              <w:left w:w="100" w:type="dxa"/>
              <w:bottom w:w="100" w:type="dxa"/>
              <w:right w:w="100" w:type="dxa"/>
            </w:tcMar>
            <w:vAlign w:val="center"/>
          </w:tcPr>
          <w:p w14:paraId="5F324DDB" w14:textId="77777777" w:rsidR="009E4AA1" w:rsidRDefault="009E4AA1">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7E1BF26" w14:textId="77777777" w:rsidR="009E4AA1" w:rsidRDefault="005A671D">
            <w:pPr>
              <w:widowControl w:val="0"/>
              <w:spacing w:after="0" w:line="360" w:lineRule="auto"/>
              <w:jc w:val="both"/>
              <w:rPr>
                <w:rFonts w:ascii="Arial" w:eastAsia="Arial" w:hAnsi="Arial" w:cs="Arial"/>
                <w:sz w:val="18"/>
                <w:szCs w:val="18"/>
              </w:rPr>
            </w:pPr>
            <w:r>
              <w:rPr>
                <w:rFonts w:ascii="Arial" w:eastAsia="Arial" w:hAnsi="Arial" w:cs="Arial"/>
                <w:sz w:val="18"/>
                <w:szCs w:val="18"/>
              </w:rPr>
              <w:t>3.4. Ensamblar una nueva versión del instrumento para su aplicación piloto</w:t>
            </w:r>
          </w:p>
        </w:tc>
      </w:tr>
      <w:tr w:rsidR="009E4AA1" w14:paraId="06BCE6B5" w14:textId="77777777">
        <w:trPr>
          <w:trHeight w:val="440"/>
        </w:trPr>
        <w:tc>
          <w:tcPr>
            <w:tcW w:w="1695" w:type="dxa"/>
            <w:vMerge/>
            <w:shd w:val="clear" w:color="auto" w:fill="auto"/>
            <w:tcMar>
              <w:top w:w="100" w:type="dxa"/>
              <w:left w:w="100" w:type="dxa"/>
              <w:bottom w:w="100" w:type="dxa"/>
              <w:right w:w="100" w:type="dxa"/>
            </w:tcMar>
            <w:vAlign w:val="center"/>
          </w:tcPr>
          <w:p w14:paraId="2AA999EE" w14:textId="77777777" w:rsidR="009E4AA1" w:rsidRDefault="009E4AA1">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782F9FB" w14:textId="77777777" w:rsidR="009E4AA1" w:rsidRDefault="005A671D">
            <w:pPr>
              <w:widowControl w:val="0"/>
              <w:spacing w:after="0" w:line="360" w:lineRule="auto"/>
              <w:jc w:val="both"/>
              <w:rPr>
                <w:rFonts w:ascii="Arial" w:eastAsia="Arial" w:hAnsi="Arial" w:cs="Arial"/>
                <w:sz w:val="18"/>
                <w:szCs w:val="18"/>
              </w:rPr>
            </w:pPr>
            <w:r>
              <w:rPr>
                <w:rFonts w:ascii="Arial" w:eastAsia="Arial" w:hAnsi="Arial" w:cs="Arial"/>
                <w:sz w:val="18"/>
                <w:szCs w:val="18"/>
              </w:rPr>
              <w:t>3.5. Definir la muestra de participantes para el piloteo de la prueba.</w:t>
            </w:r>
          </w:p>
        </w:tc>
      </w:tr>
      <w:tr w:rsidR="009E4AA1" w14:paraId="770A4951" w14:textId="77777777">
        <w:trPr>
          <w:trHeight w:val="440"/>
        </w:trPr>
        <w:tc>
          <w:tcPr>
            <w:tcW w:w="1695" w:type="dxa"/>
            <w:vMerge/>
            <w:shd w:val="clear" w:color="auto" w:fill="auto"/>
            <w:tcMar>
              <w:top w:w="100" w:type="dxa"/>
              <w:left w:w="100" w:type="dxa"/>
              <w:bottom w:w="100" w:type="dxa"/>
              <w:right w:w="100" w:type="dxa"/>
            </w:tcMar>
            <w:vAlign w:val="center"/>
          </w:tcPr>
          <w:p w14:paraId="17EB5D09" w14:textId="77777777" w:rsidR="009E4AA1" w:rsidRDefault="009E4AA1">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B5CED59" w14:textId="77777777" w:rsidR="009E4AA1" w:rsidRDefault="005A671D">
            <w:pPr>
              <w:spacing w:before="240" w:after="240" w:line="276" w:lineRule="auto"/>
              <w:rPr>
                <w:rFonts w:ascii="Arial" w:eastAsia="Arial" w:hAnsi="Arial" w:cs="Arial"/>
                <w:sz w:val="18"/>
                <w:szCs w:val="18"/>
              </w:rPr>
            </w:pPr>
            <w:r>
              <w:rPr>
                <w:rFonts w:ascii="Arial" w:eastAsia="Arial" w:hAnsi="Arial" w:cs="Arial"/>
                <w:sz w:val="18"/>
                <w:szCs w:val="18"/>
              </w:rPr>
              <w:t>3.6. Reclutar, seleccionar y capacitar a los aplicadores del piloteo.</w:t>
            </w:r>
          </w:p>
        </w:tc>
      </w:tr>
      <w:tr w:rsidR="009E4AA1" w14:paraId="1867A9DE" w14:textId="77777777">
        <w:trPr>
          <w:trHeight w:val="440"/>
        </w:trPr>
        <w:tc>
          <w:tcPr>
            <w:tcW w:w="1695" w:type="dxa"/>
            <w:vMerge/>
            <w:shd w:val="clear" w:color="auto" w:fill="auto"/>
            <w:tcMar>
              <w:top w:w="100" w:type="dxa"/>
              <w:left w:w="100" w:type="dxa"/>
              <w:bottom w:w="100" w:type="dxa"/>
              <w:right w:w="100" w:type="dxa"/>
            </w:tcMar>
            <w:vAlign w:val="center"/>
          </w:tcPr>
          <w:p w14:paraId="60ABAE65" w14:textId="77777777" w:rsidR="009E4AA1" w:rsidRDefault="009E4AA1">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54E5034" w14:textId="77777777" w:rsidR="009E4AA1" w:rsidRDefault="005A671D">
            <w:pPr>
              <w:spacing w:before="240" w:after="240" w:line="276" w:lineRule="auto"/>
              <w:rPr>
                <w:rFonts w:ascii="Arial" w:eastAsia="Arial" w:hAnsi="Arial" w:cs="Arial"/>
                <w:sz w:val="18"/>
                <w:szCs w:val="18"/>
              </w:rPr>
            </w:pPr>
            <w:r>
              <w:rPr>
                <w:rFonts w:ascii="Arial" w:eastAsia="Arial" w:hAnsi="Arial" w:cs="Arial"/>
                <w:sz w:val="18"/>
                <w:szCs w:val="18"/>
              </w:rPr>
              <w:t>3.7. Realizar la aplicación piloto del instrumento</w:t>
            </w:r>
          </w:p>
        </w:tc>
      </w:tr>
      <w:tr w:rsidR="009E4AA1" w14:paraId="314D6DDA" w14:textId="77777777">
        <w:trPr>
          <w:trHeight w:val="440"/>
        </w:trPr>
        <w:tc>
          <w:tcPr>
            <w:tcW w:w="1695" w:type="dxa"/>
            <w:vMerge/>
            <w:shd w:val="clear" w:color="auto" w:fill="auto"/>
            <w:tcMar>
              <w:top w:w="100" w:type="dxa"/>
              <w:left w:w="100" w:type="dxa"/>
              <w:bottom w:w="100" w:type="dxa"/>
              <w:right w:w="100" w:type="dxa"/>
            </w:tcMar>
            <w:vAlign w:val="center"/>
          </w:tcPr>
          <w:p w14:paraId="5BEC6E5B" w14:textId="77777777" w:rsidR="009E4AA1" w:rsidRDefault="009E4AA1">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852888E" w14:textId="77777777" w:rsidR="009E4AA1" w:rsidRDefault="005A671D">
            <w:pPr>
              <w:spacing w:before="240" w:after="240" w:line="276" w:lineRule="auto"/>
              <w:rPr>
                <w:rFonts w:ascii="Arial" w:eastAsia="Arial" w:hAnsi="Arial" w:cs="Arial"/>
                <w:sz w:val="18"/>
                <w:szCs w:val="18"/>
              </w:rPr>
            </w:pPr>
            <w:r>
              <w:rPr>
                <w:rFonts w:ascii="Arial" w:eastAsia="Arial" w:hAnsi="Arial" w:cs="Arial"/>
                <w:sz w:val="18"/>
                <w:szCs w:val="18"/>
              </w:rPr>
              <w:t>3.8. Recolectar y codificar las respuestas de los participantes del piloteo.</w:t>
            </w:r>
          </w:p>
        </w:tc>
      </w:tr>
      <w:tr w:rsidR="009E4AA1" w14:paraId="0331C81E" w14:textId="77777777">
        <w:trPr>
          <w:trHeight w:val="440"/>
        </w:trPr>
        <w:tc>
          <w:tcPr>
            <w:tcW w:w="1695" w:type="dxa"/>
            <w:vMerge/>
            <w:shd w:val="clear" w:color="auto" w:fill="auto"/>
            <w:tcMar>
              <w:top w:w="100" w:type="dxa"/>
              <w:left w:w="100" w:type="dxa"/>
              <w:bottom w:w="100" w:type="dxa"/>
              <w:right w:w="100" w:type="dxa"/>
            </w:tcMar>
            <w:vAlign w:val="center"/>
          </w:tcPr>
          <w:p w14:paraId="027C1BDE" w14:textId="77777777" w:rsidR="009E4AA1" w:rsidRDefault="009E4AA1">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E45B4B0" w14:textId="77777777" w:rsidR="009E4AA1" w:rsidRDefault="005A671D">
            <w:pPr>
              <w:widowControl w:val="0"/>
              <w:spacing w:after="0" w:line="360" w:lineRule="auto"/>
              <w:jc w:val="both"/>
              <w:rPr>
                <w:rFonts w:ascii="Arial" w:eastAsia="Arial" w:hAnsi="Arial" w:cs="Arial"/>
                <w:sz w:val="18"/>
                <w:szCs w:val="18"/>
              </w:rPr>
            </w:pPr>
            <w:r>
              <w:rPr>
                <w:rFonts w:ascii="Arial" w:eastAsia="Arial" w:hAnsi="Arial" w:cs="Arial"/>
                <w:sz w:val="18"/>
                <w:szCs w:val="18"/>
              </w:rPr>
              <w:t>3.9 Realizar análisis preliminares sobre las respuestas recopiladas y estimar indicadores psicométricos derivados de la Teoría Clásica de los Test</w:t>
            </w:r>
          </w:p>
        </w:tc>
      </w:tr>
    </w:tbl>
    <w:p w14:paraId="27D6DAFA" w14:textId="77777777" w:rsidR="009E4AA1" w:rsidRDefault="009E4AA1">
      <w:pPr>
        <w:spacing w:line="360" w:lineRule="auto"/>
        <w:jc w:val="both"/>
        <w:rPr>
          <w:rFonts w:ascii="Arial" w:eastAsia="Arial" w:hAnsi="Arial" w:cs="Arial"/>
          <w:b/>
          <w:sz w:val="24"/>
          <w:szCs w:val="24"/>
        </w:rPr>
      </w:pPr>
    </w:p>
    <w:p w14:paraId="789B6583" w14:textId="77777777" w:rsidR="009E4AA1" w:rsidRDefault="005A671D">
      <w:pPr>
        <w:spacing w:line="360" w:lineRule="auto"/>
        <w:jc w:val="both"/>
        <w:rPr>
          <w:rFonts w:ascii="Arial" w:eastAsia="Arial" w:hAnsi="Arial" w:cs="Arial"/>
          <w:b/>
          <w:sz w:val="24"/>
          <w:szCs w:val="24"/>
        </w:rPr>
      </w:pPr>
      <w:r>
        <w:rPr>
          <w:rFonts w:ascii="Arial" w:eastAsia="Arial" w:hAnsi="Arial" w:cs="Arial"/>
          <w:b/>
          <w:sz w:val="24"/>
          <w:szCs w:val="24"/>
        </w:rPr>
        <w:t>2.2.1. Fase de Diseño</w:t>
      </w:r>
    </w:p>
    <w:p w14:paraId="7C924860" w14:textId="77777777" w:rsidR="009E4AA1" w:rsidRPr="00496D2B" w:rsidRDefault="005A671D">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Como todo proyecto de investigación, la elaboración de un instrumento de apreciación que permita hacer inferencias sobre las características de los aspirantes, debe contar con una fase de diseño donde se detalle minuciosamente los objetivos que se pretenden conseguir con su aplicación </w:t>
      </w:r>
      <w:r w:rsidRPr="00496D2B">
        <w:rPr>
          <w:rFonts w:ascii="Arial" w:eastAsia="Arial" w:hAnsi="Arial" w:cs="Arial"/>
          <w:sz w:val="24"/>
          <w:szCs w:val="24"/>
        </w:rPr>
        <w:t>y las características que debe tener. Es necesario especificar el constructo, atributo o característica psicológica a evaluar con el instrumento a elaborar, alineando el contenido y las características requisitadas en los referentes normativos con la literatura especializada.</w:t>
      </w:r>
    </w:p>
    <w:p w14:paraId="12EF7966" w14:textId="77777777" w:rsidR="009E4AA1" w:rsidRPr="00496D2B" w:rsidRDefault="005A671D">
      <w:pPr>
        <w:spacing w:before="200" w:after="0" w:line="360" w:lineRule="auto"/>
        <w:ind w:left="283"/>
        <w:jc w:val="both"/>
        <w:rPr>
          <w:rFonts w:ascii="Arial" w:eastAsia="Arial" w:hAnsi="Arial" w:cs="Arial"/>
          <w:sz w:val="24"/>
          <w:szCs w:val="24"/>
        </w:rPr>
      </w:pPr>
      <w:r w:rsidRPr="00496D2B">
        <w:rPr>
          <w:rFonts w:ascii="Arial" w:eastAsia="Arial" w:hAnsi="Arial" w:cs="Arial"/>
          <w:sz w:val="24"/>
          <w:szCs w:val="24"/>
        </w:rPr>
        <w:t>De acuerdo con lo propuesto por Embretson y Gorin (2001), el diseño debe de estar basado en modelos teóricos que cuenten con un sustento teórico fuerte y con evidencia empírica del proceso de respuesta, es decir, que permitan representar el constructo con base en los modelos obtenidos de la investigación en Psicología. 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(Thomas,1985).</w:t>
      </w:r>
    </w:p>
    <w:p w14:paraId="0810EE89" w14:textId="77777777" w:rsidR="009E4AA1" w:rsidRDefault="005A671D">
      <w:pPr>
        <w:spacing w:before="200" w:after="0" w:line="360" w:lineRule="auto"/>
        <w:ind w:left="283"/>
        <w:jc w:val="both"/>
        <w:rPr>
          <w:rFonts w:ascii="Arial" w:eastAsia="Arial" w:hAnsi="Arial" w:cs="Arial"/>
          <w:sz w:val="24"/>
          <w:szCs w:val="24"/>
        </w:rPr>
      </w:pPr>
      <w:r w:rsidRPr="00496D2B">
        <w:rPr>
          <w:rFonts w:ascii="Arial" w:eastAsia="Arial" w:hAnsi="Arial" w:cs="Arial"/>
          <w:sz w:val="24"/>
          <w:szCs w:val="24"/>
        </w:rPr>
        <w:t>En términos de las acciones a desarrollar, la fase de diseño comprende todo lo relacionado con el desarrollo y esquematización de la estructura interna del instrumento de apreciación a construir, empatando los</w:t>
      </w:r>
      <w:r>
        <w:rPr>
          <w:rFonts w:ascii="Arial" w:eastAsia="Arial" w:hAnsi="Arial" w:cs="Arial"/>
          <w:sz w:val="24"/>
          <w:szCs w:val="24"/>
        </w:rPr>
        <w:t xml:space="preserve"> contenidos de los Perfiles profesionales y los propósitos establecidos en la LGSCMM para cada proceso de selección, con las teorías sustantivas y evidencias empíricas reportadas en la literatura. De esta forma, es posible identificar los elementos y componentes principales del objeto de estudio y su interrelación, para trazar así el modelo sustantivo que orientará el desarrollo del instrumento de apreciación como una herramienta para la recolección de evidencias observables, cuya interpretación permita hacer inferencias sobre las </w:t>
      </w:r>
      <w:r>
        <w:rPr>
          <w:rFonts w:ascii="Arial" w:eastAsia="Arial" w:hAnsi="Arial" w:cs="Arial"/>
          <w:sz w:val="24"/>
          <w:szCs w:val="24"/>
        </w:rPr>
        <w:lastRenderedPageBreak/>
        <w:t>habilidades, conocimientos, aptitudes y actitudes de los aspirantes. En otras palabras, es durante esta fase cuando se define la estructura interna del instrumento dentro de la matriz Q, donde se especifica la relación existente entre los distintos conocimientos y habilidades a medir y cada uno de los ítems a desarrollar como parte del instrumento.</w:t>
      </w:r>
    </w:p>
    <w:p w14:paraId="0C9BC541" w14:textId="77777777" w:rsidR="009E4AA1" w:rsidRDefault="005A671D">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En su conjunto, la fase de diseño debe ayudar a especificar los siguientes elementos: propósito (Schmeiser y Welch, 2006; DOF, 2017, 28 de abril, p. 5), objeto (DOF, 2017, 28 de abril, p. 5), población objetivo (Mellenbergh, 2011), interpretación y uso de resultados (Mellenbergh, 2011; DOF, 2017, 28 de abril, p. 5), tipo de instrumento, modelo de medición, tipo de reactivos, longitud del instrumento y tiempo de administración (DOF, 2017, 28 de abril, p. 5; Schmeiser y Welch, 2006), contar con un cuerpo de expertos rector del instrumento y especificaciones y el marco teórico (AERA, APA y NCME, 2014; Mellenbergh, 2011). </w:t>
      </w:r>
    </w:p>
    <w:p w14:paraId="4EEB0D07" w14:textId="77777777" w:rsidR="009E4AA1" w:rsidRDefault="009E4AA1">
      <w:pPr>
        <w:spacing w:before="200" w:after="0" w:line="360" w:lineRule="auto"/>
        <w:ind w:left="283"/>
        <w:jc w:val="both"/>
        <w:rPr>
          <w:rFonts w:ascii="Arial" w:eastAsia="Arial" w:hAnsi="Arial" w:cs="Arial"/>
          <w:sz w:val="24"/>
          <w:szCs w:val="24"/>
        </w:rPr>
      </w:pPr>
    </w:p>
    <w:p w14:paraId="2A5FAB26" w14:textId="77777777" w:rsidR="009E4AA1" w:rsidRDefault="005A671D">
      <w:pPr>
        <w:spacing w:line="360" w:lineRule="auto"/>
        <w:jc w:val="both"/>
        <w:rPr>
          <w:rFonts w:ascii="Arial" w:eastAsia="Arial" w:hAnsi="Arial" w:cs="Arial"/>
          <w:b/>
          <w:sz w:val="24"/>
          <w:szCs w:val="24"/>
        </w:rPr>
      </w:pPr>
      <w:r>
        <w:rPr>
          <w:rFonts w:ascii="Arial" w:eastAsia="Arial" w:hAnsi="Arial" w:cs="Arial"/>
          <w:b/>
          <w:sz w:val="24"/>
          <w:szCs w:val="24"/>
        </w:rPr>
        <w:t>2.2.2. Fase de Desarrollo</w:t>
      </w:r>
    </w:p>
    <w:p w14:paraId="33358FF8" w14:textId="77777777" w:rsidR="009E4AA1" w:rsidRDefault="005A671D">
      <w:pPr>
        <w:spacing w:line="360" w:lineRule="auto"/>
        <w:ind w:left="283"/>
        <w:jc w:val="both"/>
        <w:rPr>
          <w:rFonts w:ascii="Arial" w:eastAsia="Arial" w:hAnsi="Arial" w:cs="Arial"/>
          <w:sz w:val="24"/>
          <w:szCs w:val="24"/>
        </w:rPr>
      </w:pPr>
      <w:r>
        <w:rPr>
          <w:rFonts w:ascii="Arial" w:eastAsia="Arial" w:hAnsi="Arial" w:cs="Arial"/>
          <w:sz w:val="24"/>
          <w:szCs w:val="24"/>
        </w:rPr>
        <w:t>La fase de desarrollo comprende el compendio de acciones a realizar, una vez definido el modelo de diseño, para dar forma al instrumento de apreciación de acuerdo con las definiciones y delimitaciones trazadas por el modelo sustantivo elaborado. En el caso particular del Instrumento de  valoración de conocimientos y aptitudes docentes, se habla del desarrollo de la matriz Q que funge como el esqueleto de la estructura interna de la prueba, donde se describe de manera detallada cuáles de los ítems a desarrollar como parte de la prueba requieren del participante la aplicación de los conocimientos y habilidades identificados como parte esencial del objeto de medición y el consecuente desarrollo de los ítems.</w:t>
      </w:r>
    </w:p>
    <w:p w14:paraId="28E0FBA8" w14:textId="77777777" w:rsidR="009E4AA1" w:rsidRDefault="005A671D">
      <w:pPr>
        <w:spacing w:line="360" w:lineRule="auto"/>
        <w:ind w:left="283"/>
        <w:jc w:val="both"/>
        <w:rPr>
          <w:rFonts w:ascii="Arial" w:eastAsia="Arial" w:hAnsi="Arial" w:cs="Arial"/>
          <w:sz w:val="24"/>
          <w:szCs w:val="24"/>
        </w:rPr>
      </w:pPr>
      <w:r>
        <w:rPr>
          <w:rFonts w:ascii="Arial" w:eastAsia="Arial" w:hAnsi="Arial" w:cs="Arial"/>
          <w:sz w:val="24"/>
          <w:szCs w:val="24"/>
        </w:rPr>
        <w:t>Los instrumentos basados en modelos (Bejar, 2002) también conocidos como representaciones del constructo (Embretson, 2002) se han vuelto un referente estándar, tanto en términos teóricos como prácticos, de alta calidad técnica. Los ítems  que componen al Instrumento de  valoración de conocimientos y aptitudes docentes deben de ser congruentes a los dominios,criterios e indicadores y capturar las habilidades y destrezas que se definen en los perfiles profesionales publicados por la SEP (SEP, 2019).</w:t>
      </w:r>
    </w:p>
    <w:p w14:paraId="5A231859" w14:textId="77777777" w:rsidR="009E4AA1" w:rsidRDefault="005A671D">
      <w:pPr>
        <w:spacing w:line="360" w:lineRule="auto"/>
        <w:ind w:left="283"/>
        <w:jc w:val="both"/>
        <w:rPr>
          <w:rFonts w:ascii="Arial" w:eastAsia="Arial" w:hAnsi="Arial" w:cs="Arial"/>
          <w:sz w:val="24"/>
          <w:szCs w:val="24"/>
        </w:rPr>
      </w:pPr>
      <w:r>
        <w:rPr>
          <w:rFonts w:ascii="Arial" w:eastAsia="Arial" w:hAnsi="Arial" w:cs="Arial"/>
          <w:sz w:val="24"/>
          <w:szCs w:val="24"/>
        </w:rPr>
        <w:t xml:space="preserve">La recolección sistemática de evidencias de validez concurrente durante la fase de desarrollo es posible mediante el trabajo con un comité de expertos que valide los productos generados en la </w:t>
      </w:r>
      <w:r>
        <w:rPr>
          <w:rFonts w:ascii="Arial" w:eastAsia="Arial" w:hAnsi="Arial" w:cs="Arial"/>
          <w:sz w:val="24"/>
          <w:szCs w:val="24"/>
        </w:rPr>
        <w:lastRenderedPageBreak/>
        <w:t xml:space="preserve">fase de diseño, tales como la matriz Q construída y el conjunto de ítems diseñados para su medición Adicionalmente, se considera la integración de reportes de procesos de respuesta recopilados de sustentantes que comparten las características de la población objetivo, mediante la aplicación de técnicas de resolución en voz alta, entendiendo que las evidencias recolectadas deben arrojar luz tanto sobre el modelo explicativo como la teoría psicológica sustantiva, que guía el proceso de construcción del instrumento, de acuerdo con el modelo de diseño. </w:t>
      </w:r>
    </w:p>
    <w:p w14:paraId="0F69F0A4" w14:textId="77777777" w:rsidR="009E4AA1" w:rsidRDefault="009E4AA1">
      <w:pPr>
        <w:spacing w:line="360" w:lineRule="auto"/>
        <w:ind w:left="425"/>
        <w:jc w:val="both"/>
        <w:rPr>
          <w:rFonts w:ascii="Arial" w:eastAsia="Arial" w:hAnsi="Arial" w:cs="Arial"/>
          <w:sz w:val="24"/>
          <w:szCs w:val="24"/>
        </w:rPr>
      </w:pPr>
    </w:p>
    <w:p w14:paraId="6E41830A" w14:textId="77777777" w:rsidR="009E4AA1" w:rsidRDefault="005A671D">
      <w:pPr>
        <w:spacing w:line="360" w:lineRule="auto"/>
        <w:jc w:val="both"/>
        <w:rPr>
          <w:rFonts w:ascii="Arial" w:eastAsia="Arial" w:hAnsi="Arial" w:cs="Arial"/>
          <w:b/>
          <w:sz w:val="24"/>
          <w:szCs w:val="24"/>
        </w:rPr>
      </w:pPr>
      <w:r>
        <w:rPr>
          <w:rFonts w:ascii="Arial" w:eastAsia="Arial" w:hAnsi="Arial" w:cs="Arial"/>
          <w:b/>
          <w:sz w:val="24"/>
          <w:szCs w:val="24"/>
        </w:rPr>
        <w:t>2.2.3 Fase de Validación</w:t>
      </w:r>
    </w:p>
    <w:p w14:paraId="624D1110" w14:textId="77777777" w:rsidR="009E4AA1" w:rsidRDefault="005A671D">
      <w:pPr>
        <w:spacing w:before="240" w:after="240" w:line="360" w:lineRule="auto"/>
        <w:ind w:left="283"/>
        <w:jc w:val="both"/>
        <w:rPr>
          <w:rFonts w:ascii="Arial" w:eastAsia="Arial" w:hAnsi="Arial" w:cs="Arial"/>
          <w:sz w:val="24"/>
          <w:szCs w:val="24"/>
        </w:rPr>
      </w:pPr>
      <w:r>
        <w:rPr>
          <w:rFonts w:ascii="Arial" w:eastAsia="Arial" w:hAnsi="Arial" w:cs="Arial"/>
          <w:sz w:val="24"/>
          <w:szCs w:val="24"/>
        </w:rPr>
        <w:t>El concepto de validez (Kane, 2006; Lissitz, 2009) comprende aspectos relacionados con la interpretación y uso de los resultados observados y señala la necesidad de recolectar sistemáticamente evidencias de los atributos observables, los atributos definidos 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propuesta (NCME,2014) y el tomar en cuenta las posibles implicaciones a futuro de la aplicación del instrumento, entendida como la validez consecuencial del instrumento, (Abad, 2011).</w:t>
      </w:r>
    </w:p>
    <w:p w14:paraId="41948B86" w14:textId="77777777" w:rsidR="009E4AA1" w:rsidRDefault="005A671D">
      <w:pPr>
        <w:spacing w:line="360" w:lineRule="auto"/>
        <w:ind w:left="283"/>
        <w:jc w:val="both"/>
        <w:rPr>
          <w:rFonts w:ascii="Arial" w:eastAsia="Arial" w:hAnsi="Arial" w:cs="Arial"/>
          <w:sz w:val="24"/>
          <w:szCs w:val="24"/>
        </w:rPr>
      </w:pPr>
      <w:r>
        <w:rPr>
          <w:rFonts w:ascii="Arial" w:eastAsia="Arial" w:hAnsi="Arial" w:cs="Arial"/>
          <w:sz w:val="24"/>
          <w:szCs w:val="24"/>
        </w:rPr>
        <w:t xml:space="preserve">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(AERA, APA y NCME, 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características de las interpretaciones y de las propiedades de la información recabada por el instrumento de medición. </w:t>
      </w:r>
    </w:p>
    <w:p w14:paraId="7AB95F0E" w14:textId="77777777" w:rsidR="009E4AA1" w:rsidRDefault="005A671D">
      <w:pPr>
        <w:spacing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Distintos métodos de validación se han propuesto en la literatura, entre ellos el método argumentativo de Kane (1992; 2015) el cual plantea una que toda validación comienza con la generación de un </w:t>
      </w:r>
      <w:r>
        <w:rPr>
          <w:rFonts w:ascii="Arial" w:eastAsia="Arial" w:hAnsi="Arial" w:cs="Arial"/>
          <w:i/>
          <w:sz w:val="24"/>
          <w:szCs w:val="24"/>
        </w:rPr>
        <w:t>Argumento de interpretaciones/usos (AIU)</w:t>
      </w:r>
      <w:r>
        <w:rPr>
          <w:rFonts w:ascii="Arial" w:eastAsia="Arial" w:hAnsi="Arial" w:cs="Arial"/>
          <w:sz w:val="24"/>
          <w:szCs w:val="24"/>
        </w:rPr>
        <w:t xml:space="preserve"> en donde se especifica toda la red de supuestos e inferencias que llevan del desempeño de los evaluando en la prueba a las conclusiones y decisiones basadas en los resultados. Este argumento de interpretaciones/usos denota un marco de referencia para la validación, especificando qué se está afirmando y bajo qué condiciones teóricas y metodológicas. Posteriormente, se genera el </w:t>
      </w:r>
      <w:r>
        <w:rPr>
          <w:rFonts w:ascii="Arial" w:eastAsia="Arial" w:hAnsi="Arial" w:cs="Arial"/>
          <w:i/>
          <w:sz w:val="24"/>
          <w:szCs w:val="24"/>
        </w:rPr>
        <w:t xml:space="preserve">Argumento de Validez </w:t>
      </w:r>
      <w:r>
        <w:rPr>
          <w:rFonts w:ascii="Arial" w:eastAsia="Arial" w:hAnsi="Arial" w:cs="Arial"/>
          <w:sz w:val="24"/>
          <w:szCs w:val="24"/>
        </w:rPr>
        <w:t xml:space="preserve">el cual evalúa críticamente al argumento de interpretaciones/usos al utilizar análisis que generen información relevante y pertinente para sustentar el AIU, dicha información es posteriormente presentada como evidencia empírica que junto con un análisis lógico de la coherencia y plausibilidad, fungen como sustento del AIU. En este modelo de validación la evidencia requerida depende la interpretación y usos propuestos, por lo que sí la interpretación es simple, no incluye un gran número de inferencias y supuestos, no requeriría de mucha evidencia para respaldar. </w:t>
      </w:r>
    </w:p>
    <w:p w14:paraId="348091F3" w14:textId="77777777" w:rsidR="009E4AA1" w:rsidRDefault="005A671D">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Para validar el diseño y desarrollo del Instrumento de valoración de conocimientos y aptitudes docentes, se considera una aplicación piloto con una muestra de características similares a la población objetivo, incorporando técnicas de pensamiento en voz alta retroactivas y concurrentes que permitan valorar el grado en que la aplicación del instrumento arroja información relevante y de útil interpretación, respecto del estado del conglomerado de habilidades y conocimientos que se pretende valorar con su aplicación. </w:t>
      </w:r>
    </w:p>
    <w:p w14:paraId="436BE67A" w14:textId="77777777" w:rsidR="009E4AA1" w:rsidRDefault="009E4AA1">
      <w:pPr>
        <w:spacing w:before="240" w:after="240" w:line="360" w:lineRule="auto"/>
        <w:ind w:left="283"/>
        <w:jc w:val="both"/>
        <w:rPr>
          <w:rFonts w:ascii="Arial" w:eastAsia="Arial" w:hAnsi="Arial" w:cs="Arial"/>
          <w:sz w:val="24"/>
          <w:szCs w:val="24"/>
        </w:rPr>
      </w:pPr>
    </w:p>
    <w:p w14:paraId="1D75AFF0" w14:textId="77777777" w:rsidR="009E4AA1" w:rsidRDefault="009E4AA1">
      <w:pPr>
        <w:spacing w:before="240" w:after="240" w:line="360" w:lineRule="auto"/>
        <w:ind w:left="425" w:firstLine="294"/>
        <w:jc w:val="both"/>
        <w:rPr>
          <w:rFonts w:ascii="Arial" w:eastAsia="Arial" w:hAnsi="Arial" w:cs="Arial"/>
          <w:sz w:val="24"/>
          <w:szCs w:val="24"/>
        </w:rPr>
      </w:pPr>
    </w:p>
    <w:p w14:paraId="46EB46F4" w14:textId="77777777" w:rsidR="009E4AA1" w:rsidRDefault="009E4AA1">
      <w:pPr>
        <w:spacing w:before="240" w:after="240" w:line="360" w:lineRule="auto"/>
        <w:ind w:left="425" w:firstLine="294"/>
        <w:jc w:val="both"/>
        <w:rPr>
          <w:rFonts w:ascii="Arial" w:eastAsia="Arial" w:hAnsi="Arial" w:cs="Arial"/>
          <w:sz w:val="24"/>
          <w:szCs w:val="24"/>
        </w:rPr>
      </w:pPr>
    </w:p>
    <w:p w14:paraId="6EFFC3CA" w14:textId="26341F6D" w:rsidR="009E4AA1" w:rsidRDefault="009E4AA1">
      <w:pPr>
        <w:spacing w:line="360" w:lineRule="auto"/>
        <w:jc w:val="both"/>
        <w:rPr>
          <w:rFonts w:ascii="Arial" w:eastAsia="Arial" w:hAnsi="Arial" w:cs="Arial"/>
          <w:b/>
          <w:sz w:val="24"/>
          <w:szCs w:val="24"/>
        </w:rPr>
      </w:pPr>
    </w:p>
    <w:p w14:paraId="38A6512B" w14:textId="5F84BDC7" w:rsidR="00496D2B" w:rsidRDefault="00496D2B">
      <w:pPr>
        <w:spacing w:line="360" w:lineRule="auto"/>
        <w:jc w:val="both"/>
        <w:rPr>
          <w:rFonts w:ascii="Arial" w:eastAsia="Arial" w:hAnsi="Arial" w:cs="Arial"/>
          <w:b/>
          <w:sz w:val="24"/>
          <w:szCs w:val="24"/>
        </w:rPr>
      </w:pPr>
    </w:p>
    <w:p w14:paraId="02716F5C" w14:textId="54C9DDC2" w:rsidR="00496D2B" w:rsidRDefault="00496D2B">
      <w:pPr>
        <w:spacing w:line="360" w:lineRule="auto"/>
        <w:jc w:val="both"/>
        <w:rPr>
          <w:rFonts w:ascii="Arial" w:eastAsia="Arial" w:hAnsi="Arial" w:cs="Arial"/>
          <w:b/>
          <w:sz w:val="24"/>
          <w:szCs w:val="24"/>
        </w:rPr>
      </w:pPr>
    </w:p>
    <w:p w14:paraId="5F4D444D" w14:textId="3242333D" w:rsidR="00496D2B" w:rsidRDefault="00496D2B">
      <w:pPr>
        <w:spacing w:line="360" w:lineRule="auto"/>
        <w:jc w:val="both"/>
        <w:rPr>
          <w:rFonts w:ascii="Arial" w:eastAsia="Arial" w:hAnsi="Arial" w:cs="Arial"/>
          <w:b/>
          <w:sz w:val="24"/>
          <w:szCs w:val="24"/>
        </w:rPr>
      </w:pPr>
    </w:p>
    <w:p w14:paraId="30B468E7" w14:textId="77777777" w:rsidR="00496D2B" w:rsidRDefault="00496D2B">
      <w:pPr>
        <w:spacing w:line="360" w:lineRule="auto"/>
        <w:jc w:val="both"/>
        <w:rPr>
          <w:rFonts w:ascii="Arial" w:eastAsia="Arial" w:hAnsi="Arial" w:cs="Arial"/>
          <w:b/>
          <w:sz w:val="24"/>
          <w:szCs w:val="24"/>
        </w:rPr>
      </w:pPr>
    </w:p>
    <w:p w14:paraId="65071910" w14:textId="77777777" w:rsidR="009E4AA1" w:rsidRDefault="005A671D">
      <w:pPr>
        <w:spacing w:line="360" w:lineRule="auto"/>
        <w:jc w:val="both"/>
        <w:rPr>
          <w:rFonts w:ascii="Arial" w:eastAsia="Arial" w:hAnsi="Arial" w:cs="Arial"/>
          <w:b/>
          <w:sz w:val="30"/>
          <w:szCs w:val="30"/>
        </w:rPr>
      </w:pPr>
      <w:r>
        <w:rPr>
          <w:rFonts w:ascii="Arial" w:eastAsia="Arial" w:hAnsi="Arial" w:cs="Arial"/>
          <w:b/>
          <w:sz w:val="30"/>
          <w:szCs w:val="30"/>
        </w:rPr>
        <w:lastRenderedPageBreak/>
        <w:t>III. Referencias</w:t>
      </w:r>
    </w:p>
    <w:p w14:paraId="5C595E3E" w14:textId="77777777" w:rsidR="009E4AA1" w:rsidRDefault="005A671D">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Abad, F. J. (2011). Medición en ciencias sociales y de la salud.</w:t>
      </w:r>
    </w:p>
    <w:p w14:paraId="6B814BC9" w14:textId="77777777" w:rsidR="009E4AA1" w:rsidRDefault="005A671D">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sz w:val="24"/>
          <w:szCs w:val="24"/>
        </w:rPr>
        <w:t>Revista Educación Médica del Centro</w:t>
      </w:r>
      <w:r>
        <w:rPr>
          <w:rFonts w:ascii="Arial" w:eastAsia="Arial" w:hAnsi="Arial" w:cs="Arial"/>
          <w:sz w:val="24"/>
          <w:szCs w:val="24"/>
        </w:rPr>
        <w:t xml:space="preserve">, </w:t>
      </w:r>
      <w:r>
        <w:rPr>
          <w:rFonts w:ascii="Arial" w:eastAsia="Arial" w:hAnsi="Arial" w:cs="Arial"/>
          <w:i/>
          <w:sz w:val="24"/>
          <w:szCs w:val="24"/>
        </w:rPr>
        <w:t>7</w:t>
      </w:r>
      <w:r>
        <w:rPr>
          <w:rFonts w:ascii="Arial" w:eastAsia="Arial" w:hAnsi="Arial" w:cs="Arial"/>
          <w:sz w:val="24"/>
          <w:szCs w:val="24"/>
        </w:rPr>
        <w:t xml:space="preserve">(4), 196-215. </w:t>
      </w:r>
    </w:p>
    <w:p w14:paraId="5A454100" w14:textId="77777777" w:rsidR="009E4AA1" w:rsidRDefault="005A671D">
      <w:pPr>
        <w:numPr>
          <w:ilvl w:val="0"/>
          <w:numId w:val="1"/>
        </w:numPr>
        <w:spacing w:after="0" w:line="360" w:lineRule="auto"/>
        <w:ind w:right="138"/>
        <w:jc w:val="both"/>
        <w:rPr>
          <w:rFonts w:ascii="Arial" w:eastAsia="Arial" w:hAnsi="Arial" w:cs="Arial"/>
          <w:sz w:val="24"/>
          <w:szCs w:val="24"/>
        </w:rPr>
      </w:pPr>
      <w:r w:rsidRPr="00496D2B">
        <w:rPr>
          <w:rFonts w:ascii="Arial" w:eastAsia="Arial" w:hAnsi="Arial" w:cs="Arial"/>
          <w:sz w:val="24"/>
          <w:szCs w:val="24"/>
          <w:lang w:val="en-US"/>
        </w:rPr>
        <w:t xml:space="preserve">AERA, APA y NCME. American Educational Research Association, American Psychological Association y National Council on Measurement in Education (2014). </w:t>
      </w:r>
      <w:r>
        <w:rPr>
          <w:rFonts w:ascii="Arial" w:eastAsia="Arial" w:hAnsi="Arial" w:cs="Arial"/>
          <w:i/>
          <w:sz w:val="24"/>
          <w:szCs w:val="24"/>
        </w:rPr>
        <w:t>Standards for educational and psychological testing</w:t>
      </w:r>
      <w:r>
        <w:rPr>
          <w:rFonts w:ascii="Arial" w:eastAsia="Arial" w:hAnsi="Arial" w:cs="Arial"/>
          <w:sz w:val="24"/>
          <w:szCs w:val="24"/>
        </w:rPr>
        <w:t>. Washington, DC: AERA.</w:t>
      </w:r>
    </w:p>
    <w:p w14:paraId="2DDB74E4" w14:textId="77777777" w:rsidR="009E4AA1" w:rsidRPr="00496D2B" w:rsidRDefault="005A671D">
      <w:pPr>
        <w:numPr>
          <w:ilvl w:val="0"/>
          <w:numId w:val="1"/>
        </w:numPr>
        <w:spacing w:after="0" w:line="360" w:lineRule="auto"/>
        <w:ind w:right="138"/>
        <w:jc w:val="both"/>
        <w:rPr>
          <w:rFonts w:ascii="Arial" w:eastAsia="Arial" w:hAnsi="Arial" w:cs="Arial"/>
          <w:sz w:val="24"/>
          <w:szCs w:val="24"/>
          <w:lang w:val="en-US"/>
        </w:rPr>
      </w:pPr>
      <w:r>
        <w:rPr>
          <w:rFonts w:ascii="Arial" w:eastAsia="Arial" w:hAnsi="Arial" w:cs="Arial"/>
          <w:sz w:val="24"/>
          <w:szCs w:val="24"/>
        </w:rPr>
        <w:t xml:space="preserve">AERA, APA y NCME (2018). Estándares para Pruebas Educativas y Psicológicas. </w:t>
      </w:r>
      <w:r w:rsidRPr="00496D2B">
        <w:rPr>
          <w:rFonts w:ascii="Arial" w:eastAsia="Arial" w:hAnsi="Arial" w:cs="Arial"/>
          <w:sz w:val="24"/>
          <w:szCs w:val="24"/>
          <w:lang w:val="en-US"/>
        </w:rPr>
        <w:t>Washington, DC: American Educational Research Association. Retrieved March 4, 2020, from www.jstor.org/stable/j.ctvr43hg2</w:t>
      </w:r>
    </w:p>
    <w:p w14:paraId="57202B24" w14:textId="77777777" w:rsidR="009E4AA1" w:rsidRDefault="005A671D">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Al-Shamrani, A., &amp; Dimitorv, D. M. (2017). </w:t>
      </w:r>
      <w:r w:rsidRPr="00496D2B">
        <w:rPr>
          <w:rFonts w:ascii="Arial" w:eastAsia="Arial" w:hAnsi="Arial" w:cs="Arial"/>
          <w:sz w:val="24"/>
          <w:szCs w:val="24"/>
          <w:lang w:val="en-US"/>
        </w:rPr>
        <w:t xml:space="preserve">Cognitive Diagnostic Analysis of Reading Comprehension Items: The Case of English Proficiency Assessment in Saudi Arabia. </w:t>
      </w:r>
      <w:r>
        <w:rPr>
          <w:rFonts w:ascii="Arial" w:eastAsia="Arial" w:hAnsi="Arial" w:cs="Arial"/>
          <w:i/>
          <w:sz w:val="24"/>
          <w:szCs w:val="24"/>
        </w:rPr>
        <w:t>Internasional Journal Of School And Cognitive Psycholigi</w:t>
      </w:r>
      <w:r>
        <w:rPr>
          <w:rFonts w:ascii="Arial" w:eastAsia="Arial" w:hAnsi="Arial" w:cs="Arial"/>
          <w:sz w:val="24"/>
          <w:szCs w:val="24"/>
        </w:rPr>
        <w:t xml:space="preserve">, </w:t>
      </w:r>
      <w:r>
        <w:rPr>
          <w:rFonts w:ascii="Arial" w:eastAsia="Arial" w:hAnsi="Arial" w:cs="Arial"/>
          <w:i/>
          <w:sz w:val="24"/>
          <w:szCs w:val="24"/>
        </w:rPr>
        <w:t>196</w:t>
      </w:r>
      <w:r>
        <w:rPr>
          <w:rFonts w:ascii="Arial" w:eastAsia="Arial" w:hAnsi="Arial" w:cs="Arial"/>
          <w:sz w:val="24"/>
          <w:szCs w:val="24"/>
        </w:rPr>
        <w:t>.</w:t>
      </w:r>
    </w:p>
    <w:p w14:paraId="0823D587" w14:textId="77777777" w:rsidR="009E4AA1" w:rsidRDefault="005A671D">
      <w:pPr>
        <w:numPr>
          <w:ilvl w:val="0"/>
          <w:numId w:val="1"/>
        </w:numPr>
        <w:spacing w:after="0" w:line="360" w:lineRule="auto"/>
        <w:ind w:right="138"/>
        <w:jc w:val="both"/>
        <w:rPr>
          <w:rFonts w:ascii="Arial" w:eastAsia="Arial" w:hAnsi="Arial" w:cs="Arial"/>
          <w:sz w:val="24"/>
          <w:szCs w:val="24"/>
        </w:rPr>
      </w:pPr>
      <w:r w:rsidRPr="00496D2B">
        <w:rPr>
          <w:rFonts w:ascii="Arial" w:eastAsia="Arial" w:hAnsi="Arial" w:cs="Arial"/>
          <w:sz w:val="24"/>
          <w:szCs w:val="24"/>
          <w:lang w:val="en-US"/>
        </w:rPr>
        <w:t xml:space="preserve">Bejar, I. I. (2002). Generative testing: From conception to implementation. </w:t>
      </w:r>
      <w:r>
        <w:rPr>
          <w:rFonts w:ascii="Arial" w:eastAsia="Arial" w:hAnsi="Arial" w:cs="Arial"/>
          <w:i/>
          <w:sz w:val="24"/>
          <w:szCs w:val="24"/>
        </w:rPr>
        <w:t>Item generation for test development</w:t>
      </w:r>
      <w:r>
        <w:rPr>
          <w:rFonts w:ascii="Arial" w:eastAsia="Arial" w:hAnsi="Arial" w:cs="Arial"/>
          <w:sz w:val="24"/>
          <w:szCs w:val="24"/>
        </w:rPr>
        <w:t>, 199-217.</w:t>
      </w:r>
    </w:p>
    <w:p w14:paraId="61C36087" w14:textId="77777777" w:rsidR="009E4AA1" w:rsidRDefault="005A671D">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DOF (2017, 28 de abril). Criterios técnicos para el desarrollo, uso y mantenimiento de instrumentos de evaluación. México. Recuperado de: http://www.dof.gob.mx/nota_detalle. php?codigo=5481062&amp;fecha=28/04/2017</w:t>
      </w:r>
    </w:p>
    <w:p w14:paraId="1F5AF5A2" w14:textId="77777777" w:rsidR="009E4AA1" w:rsidRDefault="005A671D">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7F8E127A" w14:textId="77777777" w:rsidR="009E4AA1" w:rsidRDefault="005A671D">
      <w:pPr>
        <w:numPr>
          <w:ilvl w:val="0"/>
          <w:numId w:val="1"/>
        </w:numPr>
        <w:spacing w:after="0" w:line="360" w:lineRule="auto"/>
        <w:ind w:right="138"/>
        <w:jc w:val="both"/>
        <w:rPr>
          <w:rFonts w:ascii="Arial" w:eastAsia="Arial" w:hAnsi="Arial" w:cs="Arial"/>
          <w:sz w:val="24"/>
          <w:szCs w:val="24"/>
        </w:rPr>
      </w:pPr>
      <w:r w:rsidRPr="00496D2B">
        <w:rPr>
          <w:rFonts w:ascii="Arial" w:eastAsia="Arial" w:hAnsi="Arial" w:cs="Arial"/>
          <w:sz w:val="24"/>
          <w:szCs w:val="24"/>
          <w:lang w:val="en-US"/>
        </w:rPr>
        <w:t xml:space="preserve">Embretson, S.E. (2002) Generating abstract reasoning items with cognitive theory. </w:t>
      </w:r>
      <w:r>
        <w:rPr>
          <w:rFonts w:ascii="Arial" w:eastAsia="Arial" w:hAnsi="Arial" w:cs="Arial"/>
          <w:i/>
          <w:sz w:val="24"/>
          <w:szCs w:val="24"/>
        </w:rPr>
        <w:t>Item generation for test development</w:t>
      </w:r>
      <w:r>
        <w:rPr>
          <w:rFonts w:ascii="Arial" w:eastAsia="Arial" w:hAnsi="Arial" w:cs="Arial"/>
          <w:sz w:val="24"/>
          <w:szCs w:val="24"/>
        </w:rPr>
        <w:t>, 219-250.</w:t>
      </w:r>
    </w:p>
    <w:p w14:paraId="0867CF3B" w14:textId="77777777" w:rsidR="009E4AA1" w:rsidRDefault="005A671D">
      <w:pPr>
        <w:numPr>
          <w:ilvl w:val="0"/>
          <w:numId w:val="1"/>
        </w:numPr>
        <w:spacing w:after="0" w:line="360" w:lineRule="auto"/>
        <w:ind w:right="138"/>
        <w:jc w:val="both"/>
        <w:rPr>
          <w:rFonts w:ascii="Arial" w:eastAsia="Arial" w:hAnsi="Arial" w:cs="Arial"/>
          <w:sz w:val="24"/>
          <w:szCs w:val="24"/>
        </w:rPr>
      </w:pPr>
      <w:r w:rsidRPr="00496D2B">
        <w:rPr>
          <w:rFonts w:ascii="Arial" w:eastAsia="Arial" w:hAnsi="Arial" w:cs="Arial"/>
          <w:sz w:val="24"/>
          <w:szCs w:val="24"/>
          <w:lang w:val="en-US"/>
        </w:rPr>
        <w:t xml:space="preserve">Embretson, S., &amp; Gorin, J. (2001) Improving construct validity with cognitive psychology principles. </w:t>
      </w:r>
      <w:r>
        <w:rPr>
          <w:rFonts w:ascii="Arial" w:eastAsia="Arial" w:hAnsi="Arial" w:cs="Arial"/>
          <w:i/>
          <w:sz w:val="24"/>
          <w:szCs w:val="24"/>
        </w:rPr>
        <w:t>Journal of Educational Measurement</w:t>
      </w:r>
      <w:r>
        <w:rPr>
          <w:rFonts w:ascii="Arial" w:eastAsia="Arial" w:hAnsi="Arial" w:cs="Arial"/>
          <w:sz w:val="24"/>
          <w:szCs w:val="24"/>
        </w:rPr>
        <w:t>, 38(4), 345-368.</w:t>
      </w:r>
    </w:p>
    <w:p w14:paraId="1185B61F" w14:textId="77777777" w:rsidR="009E4AA1" w:rsidRPr="00496D2B" w:rsidRDefault="005A671D">
      <w:pPr>
        <w:numPr>
          <w:ilvl w:val="0"/>
          <w:numId w:val="1"/>
        </w:numPr>
        <w:spacing w:after="0" w:line="360" w:lineRule="auto"/>
        <w:ind w:right="138"/>
        <w:jc w:val="both"/>
        <w:rPr>
          <w:rFonts w:ascii="Arial" w:eastAsia="Arial" w:hAnsi="Arial" w:cs="Arial"/>
          <w:sz w:val="24"/>
          <w:szCs w:val="24"/>
          <w:lang w:val="en-US"/>
        </w:rPr>
      </w:pPr>
      <w:r w:rsidRPr="00496D2B">
        <w:rPr>
          <w:rFonts w:ascii="Arial" w:eastAsia="Arial" w:hAnsi="Arial" w:cs="Arial"/>
          <w:sz w:val="24"/>
          <w:szCs w:val="24"/>
          <w:lang w:val="en-US"/>
        </w:rPr>
        <w:t xml:space="preserve">Fullan, M. (2007). Educational reform as continuous improvement. </w:t>
      </w:r>
      <w:r w:rsidRPr="00496D2B">
        <w:rPr>
          <w:rFonts w:ascii="Arial" w:eastAsia="Arial" w:hAnsi="Arial" w:cs="Arial"/>
          <w:i/>
          <w:sz w:val="24"/>
          <w:szCs w:val="24"/>
          <w:lang w:val="en-US"/>
        </w:rPr>
        <w:t>The keys to effective schools: Educational reform as continuous improvement</w:t>
      </w:r>
      <w:r w:rsidRPr="00496D2B">
        <w:rPr>
          <w:rFonts w:ascii="Arial" w:eastAsia="Arial" w:hAnsi="Arial" w:cs="Arial"/>
          <w:sz w:val="24"/>
          <w:szCs w:val="24"/>
          <w:lang w:val="en-US"/>
        </w:rPr>
        <w:t>, 1-12.</w:t>
      </w:r>
    </w:p>
    <w:p w14:paraId="51A872C4" w14:textId="77777777" w:rsidR="009E4AA1" w:rsidRDefault="005A671D">
      <w:pPr>
        <w:numPr>
          <w:ilvl w:val="0"/>
          <w:numId w:val="1"/>
        </w:numPr>
        <w:spacing w:after="0" w:line="360" w:lineRule="auto"/>
        <w:ind w:right="138"/>
        <w:jc w:val="both"/>
        <w:rPr>
          <w:rFonts w:ascii="Arial" w:eastAsia="Arial" w:hAnsi="Arial" w:cs="Arial"/>
          <w:sz w:val="24"/>
          <w:szCs w:val="24"/>
        </w:rPr>
      </w:pPr>
      <w:r w:rsidRPr="00496D2B">
        <w:rPr>
          <w:rFonts w:ascii="Arial" w:eastAsia="Arial" w:hAnsi="Arial" w:cs="Arial"/>
          <w:sz w:val="24"/>
          <w:szCs w:val="24"/>
          <w:highlight w:val="white"/>
          <w:lang w:val="en-US"/>
        </w:rPr>
        <w:t xml:space="preserve">Kane, M. T. (1992). An argument-based approach to validity. </w:t>
      </w:r>
      <w:r>
        <w:rPr>
          <w:rFonts w:ascii="Arial" w:eastAsia="Arial" w:hAnsi="Arial" w:cs="Arial"/>
          <w:i/>
          <w:sz w:val="24"/>
          <w:szCs w:val="24"/>
          <w:highlight w:val="white"/>
        </w:rPr>
        <w:t>Psychological bulletin</w:t>
      </w:r>
      <w:r>
        <w:rPr>
          <w:rFonts w:ascii="Arial" w:eastAsia="Arial" w:hAnsi="Arial" w:cs="Arial"/>
          <w:sz w:val="24"/>
          <w:szCs w:val="24"/>
          <w:highlight w:val="white"/>
        </w:rPr>
        <w:t xml:space="preserve">, </w:t>
      </w:r>
      <w:r>
        <w:rPr>
          <w:rFonts w:ascii="Arial" w:eastAsia="Arial" w:hAnsi="Arial" w:cs="Arial"/>
          <w:i/>
          <w:sz w:val="24"/>
          <w:szCs w:val="24"/>
          <w:highlight w:val="white"/>
        </w:rPr>
        <w:t>112</w:t>
      </w:r>
      <w:r>
        <w:rPr>
          <w:rFonts w:ascii="Arial" w:eastAsia="Arial" w:hAnsi="Arial" w:cs="Arial"/>
          <w:sz w:val="24"/>
          <w:szCs w:val="24"/>
          <w:highlight w:val="white"/>
        </w:rPr>
        <w:t>(3), 527.</w:t>
      </w:r>
    </w:p>
    <w:p w14:paraId="4647A930" w14:textId="77777777" w:rsidR="009E4AA1" w:rsidRPr="00496D2B" w:rsidRDefault="005A671D">
      <w:pPr>
        <w:numPr>
          <w:ilvl w:val="0"/>
          <w:numId w:val="1"/>
        </w:numPr>
        <w:spacing w:after="0" w:line="360" w:lineRule="auto"/>
        <w:ind w:right="138"/>
        <w:rPr>
          <w:rFonts w:ascii="Arial" w:eastAsia="Arial" w:hAnsi="Arial" w:cs="Arial"/>
          <w:sz w:val="24"/>
          <w:szCs w:val="24"/>
          <w:lang w:val="en-US"/>
        </w:rPr>
      </w:pPr>
      <w:r w:rsidRPr="00496D2B">
        <w:rPr>
          <w:rFonts w:ascii="Arial" w:eastAsia="Arial" w:hAnsi="Arial" w:cs="Arial"/>
          <w:sz w:val="24"/>
          <w:szCs w:val="24"/>
          <w:lang w:val="en-US"/>
        </w:rPr>
        <w:t xml:space="preserve">Kane, M. (2006). Validation. </w:t>
      </w:r>
      <w:r w:rsidRPr="00496D2B">
        <w:rPr>
          <w:rFonts w:ascii="Arial" w:eastAsia="Arial" w:hAnsi="Arial" w:cs="Arial"/>
          <w:i/>
          <w:sz w:val="24"/>
          <w:szCs w:val="24"/>
          <w:lang w:val="en-US"/>
        </w:rPr>
        <w:t>Educational measurement</w:t>
      </w:r>
      <w:r w:rsidRPr="00496D2B">
        <w:rPr>
          <w:rFonts w:ascii="Arial" w:eastAsia="Arial" w:hAnsi="Arial" w:cs="Arial"/>
          <w:sz w:val="24"/>
          <w:szCs w:val="24"/>
          <w:lang w:val="en-US"/>
        </w:rPr>
        <w:t>, 4(2), 17-64.</w:t>
      </w:r>
    </w:p>
    <w:p w14:paraId="46326410" w14:textId="77777777" w:rsidR="009E4AA1" w:rsidRDefault="005A671D">
      <w:pPr>
        <w:numPr>
          <w:ilvl w:val="0"/>
          <w:numId w:val="1"/>
        </w:numPr>
        <w:spacing w:after="0" w:line="360" w:lineRule="auto"/>
        <w:ind w:right="138"/>
        <w:rPr>
          <w:rFonts w:ascii="Arial" w:eastAsia="Arial" w:hAnsi="Arial" w:cs="Arial"/>
          <w:sz w:val="24"/>
          <w:szCs w:val="24"/>
        </w:rPr>
      </w:pPr>
      <w:r w:rsidRPr="00496D2B">
        <w:rPr>
          <w:rFonts w:ascii="Arial" w:eastAsia="Arial" w:hAnsi="Arial" w:cs="Arial"/>
          <w:sz w:val="24"/>
          <w:szCs w:val="24"/>
          <w:lang w:val="en-US"/>
        </w:rPr>
        <w:lastRenderedPageBreak/>
        <w:t xml:space="preserve">Kane, M. (2015) Explicating Validity. Assessment in education: Principles, Policy &amp; practice. </w:t>
      </w:r>
      <w:r>
        <w:rPr>
          <w:rFonts w:ascii="Arial" w:eastAsia="Arial" w:hAnsi="Arial" w:cs="Arial"/>
          <w:sz w:val="24"/>
          <w:szCs w:val="24"/>
        </w:rPr>
        <w:t>DOI: 10.1080/0969594X.2015.1060192</w:t>
      </w:r>
    </w:p>
    <w:p w14:paraId="16359A8C" w14:textId="77777777" w:rsidR="009E4AA1" w:rsidRDefault="005A671D">
      <w:pPr>
        <w:numPr>
          <w:ilvl w:val="0"/>
          <w:numId w:val="1"/>
        </w:numPr>
        <w:spacing w:after="0" w:line="360" w:lineRule="auto"/>
        <w:ind w:right="138"/>
        <w:jc w:val="both"/>
        <w:rPr>
          <w:rFonts w:ascii="Arial" w:eastAsia="Arial" w:hAnsi="Arial" w:cs="Arial"/>
          <w:sz w:val="24"/>
          <w:szCs w:val="24"/>
        </w:rPr>
      </w:pPr>
      <w:r w:rsidRPr="00496D2B">
        <w:rPr>
          <w:rFonts w:ascii="Arial" w:eastAsia="Arial" w:hAnsi="Arial" w:cs="Arial"/>
          <w:sz w:val="24"/>
          <w:szCs w:val="24"/>
          <w:lang w:val="en-US"/>
        </w:rPr>
        <w:t xml:space="preserve">Leighton, J.P. (2004) Avoiding misconception, misuse and missed opportunities: The collection of verbal reports in educational achievement testing. </w:t>
      </w:r>
      <w:r>
        <w:rPr>
          <w:rFonts w:ascii="Arial" w:eastAsia="Arial" w:hAnsi="Arial" w:cs="Arial"/>
          <w:i/>
          <w:sz w:val="24"/>
          <w:szCs w:val="24"/>
        </w:rPr>
        <w:t>Educational Measurement: Issues and Practice</w:t>
      </w:r>
      <w:r>
        <w:rPr>
          <w:rFonts w:ascii="Arial" w:eastAsia="Arial" w:hAnsi="Arial" w:cs="Arial"/>
          <w:sz w:val="24"/>
          <w:szCs w:val="24"/>
        </w:rPr>
        <w:t>, 23(4), 6-15.</w:t>
      </w:r>
    </w:p>
    <w:p w14:paraId="2176B372" w14:textId="77777777" w:rsidR="009E4AA1" w:rsidRDefault="005A671D">
      <w:pPr>
        <w:numPr>
          <w:ilvl w:val="0"/>
          <w:numId w:val="1"/>
        </w:numPr>
        <w:spacing w:after="0" w:line="360" w:lineRule="auto"/>
        <w:ind w:right="138"/>
        <w:jc w:val="both"/>
        <w:rPr>
          <w:rFonts w:ascii="Arial" w:eastAsia="Arial" w:hAnsi="Arial" w:cs="Arial"/>
          <w:sz w:val="24"/>
          <w:szCs w:val="24"/>
        </w:rPr>
      </w:pPr>
      <w:r w:rsidRPr="00496D2B">
        <w:rPr>
          <w:rFonts w:ascii="Arial" w:eastAsia="Arial" w:hAnsi="Arial" w:cs="Arial"/>
          <w:sz w:val="24"/>
          <w:szCs w:val="24"/>
          <w:highlight w:val="white"/>
          <w:lang w:val="en-US"/>
        </w:rPr>
        <w:t xml:space="preserve">Lissitz, R. W. (Ed.). (2009). </w:t>
      </w:r>
      <w:r w:rsidRPr="00496D2B">
        <w:rPr>
          <w:rFonts w:ascii="Arial" w:eastAsia="Arial" w:hAnsi="Arial" w:cs="Arial"/>
          <w:i/>
          <w:sz w:val="24"/>
          <w:szCs w:val="24"/>
          <w:highlight w:val="white"/>
          <w:lang w:val="en-US"/>
        </w:rPr>
        <w:t>The concept of validity: Revisions, new directions and applications</w:t>
      </w:r>
      <w:r w:rsidRPr="00496D2B">
        <w:rPr>
          <w:rFonts w:ascii="Arial" w:eastAsia="Arial" w:hAnsi="Arial" w:cs="Arial"/>
          <w:sz w:val="24"/>
          <w:szCs w:val="24"/>
          <w:highlight w:val="white"/>
          <w:lang w:val="en-US"/>
        </w:rPr>
        <w:t xml:space="preserve">. </w:t>
      </w:r>
      <w:r>
        <w:rPr>
          <w:rFonts w:ascii="Arial" w:eastAsia="Arial" w:hAnsi="Arial" w:cs="Arial"/>
          <w:sz w:val="24"/>
          <w:szCs w:val="24"/>
          <w:highlight w:val="white"/>
        </w:rPr>
        <w:t>IAP.</w:t>
      </w:r>
    </w:p>
    <w:p w14:paraId="61CED3EF" w14:textId="77777777" w:rsidR="009E4AA1" w:rsidRDefault="005A671D">
      <w:pPr>
        <w:numPr>
          <w:ilvl w:val="0"/>
          <w:numId w:val="1"/>
        </w:numPr>
        <w:spacing w:after="0" w:line="360" w:lineRule="auto"/>
        <w:ind w:right="138"/>
        <w:jc w:val="both"/>
        <w:rPr>
          <w:rFonts w:ascii="Arial" w:eastAsia="Arial" w:hAnsi="Arial" w:cs="Arial"/>
          <w:sz w:val="24"/>
          <w:szCs w:val="24"/>
          <w:highlight w:val="white"/>
        </w:rPr>
      </w:pPr>
      <w:r w:rsidRPr="00496D2B">
        <w:rPr>
          <w:rFonts w:ascii="Arial" w:eastAsia="Arial" w:hAnsi="Arial" w:cs="Arial"/>
          <w:sz w:val="24"/>
          <w:szCs w:val="24"/>
          <w:highlight w:val="white"/>
          <w:lang w:val="en-US"/>
        </w:rPr>
        <w:t xml:space="preserve">Mellenbergh, G. J. (2011). </w:t>
      </w:r>
      <w:r w:rsidRPr="00496D2B">
        <w:rPr>
          <w:rFonts w:ascii="Arial" w:eastAsia="Arial" w:hAnsi="Arial" w:cs="Arial"/>
          <w:i/>
          <w:sz w:val="24"/>
          <w:szCs w:val="24"/>
          <w:highlight w:val="white"/>
          <w:lang w:val="en-US"/>
        </w:rPr>
        <w:t>A conceptual introduction to psychometrics: development, analysis, and application of psychological and educational tests</w:t>
      </w:r>
      <w:r w:rsidRPr="00496D2B">
        <w:rPr>
          <w:rFonts w:ascii="Arial" w:eastAsia="Arial" w:hAnsi="Arial" w:cs="Arial"/>
          <w:sz w:val="24"/>
          <w:szCs w:val="24"/>
          <w:highlight w:val="white"/>
          <w:lang w:val="en-US"/>
        </w:rPr>
        <w:t xml:space="preserve">. </w:t>
      </w:r>
      <w:r>
        <w:rPr>
          <w:rFonts w:ascii="Arial" w:eastAsia="Arial" w:hAnsi="Arial" w:cs="Arial"/>
          <w:sz w:val="24"/>
          <w:szCs w:val="24"/>
          <w:highlight w:val="white"/>
        </w:rPr>
        <w:t>The Hague, Netherlands: Eleven International Publishing.</w:t>
      </w:r>
    </w:p>
    <w:p w14:paraId="56A56884" w14:textId="77777777" w:rsidR="009E4AA1" w:rsidRDefault="005A671D">
      <w:pPr>
        <w:numPr>
          <w:ilvl w:val="0"/>
          <w:numId w:val="1"/>
        </w:numPr>
        <w:spacing w:after="0" w:line="360" w:lineRule="auto"/>
        <w:ind w:right="138"/>
        <w:jc w:val="both"/>
        <w:rPr>
          <w:rFonts w:ascii="Arial" w:eastAsia="Arial" w:hAnsi="Arial" w:cs="Arial"/>
          <w:sz w:val="24"/>
          <w:szCs w:val="24"/>
        </w:rPr>
      </w:pPr>
      <w:r w:rsidRPr="00496D2B">
        <w:rPr>
          <w:rFonts w:ascii="Arial" w:eastAsia="Arial" w:hAnsi="Arial" w:cs="Arial"/>
          <w:sz w:val="24"/>
          <w:szCs w:val="24"/>
          <w:highlight w:val="white"/>
          <w:lang w:val="en-US"/>
        </w:rPr>
        <w:t xml:space="preserve">Mislevy, R. J. (2007). Validity by design. </w:t>
      </w:r>
      <w:r>
        <w:rPr>
          <w:rFonts w:ascii="Arial" w:eastAsia="Arial" w:hAnsi="Arial" w:cs="Arial"/>
          <w:i/>
          <w:sz w:val="24"/>
          <w:szCs w:val="24"/>
          <w:highlight w:val="white"/>
        </w:rPr>
        <w:t>Educational Researcher</w:t>
      </w:r>
      <w:r>
        <w:rPr>
          <w:rFonts w:ascii="Arial" w:eastAsia="Arial" w:hAnsi="Arial" w:cs="Arial"/>
          <w:sz w:val="24"/>
          <w:szCs w:val="24"/>
          <w:highlight w:val="white"/>
        </w:rPr>
        <w:t xml:space="preserve">, </w:t>
      </w:r>
      <w:r>
        <w:rPr>
          <w:rFonts w:ascii="Arial" w:eastAsia="Arial" w:hAnsi="Arial" w:cs="Arial"/>
          <w:i/>
          <w:sz w:val="24"/>
          <w:szCs w:val="24"/>
          <w:highlight w:val="white"/>
        </w:rPr>
        <w:t>36</w:t>
      </w:r>
      <w:r>
        <w:rPr>
          <w:rFonts w:ascii="Arial" w:eastAsia="Arial" w:hAnsi="Arial" w:cs="Arial"/>
          <w:sz w:val="24"/>
          <w:szCs w:val="24"/>
          <w:highlight w:val="white"/>
        </w:rPr>
        <w:t>(8), 463-469.</w:t>
      </w:r>
    </w:p>
    <w:p w14:paraId="22A770FD" w14:textId="77777777" w:rsidR="009E4AA1" w:rsidRPr="00496D2B" w:rsidRDefault="005A671D">
      <w:pPr>
        <w:numPr>
          <w:ilvl w:val="0"/>
          <w:numId w:val="1"/>
        </w:numPr>
        <w:spacing w:after="0" w:line="360" w:lineRule="auto"/>
        <w:ind w:right="138"/>
        <w:rPr>
          <w:rFonts w:ascii="Arial" w:eastAsia="Arial" w:hAnsi="Arial" w:cs="Arial"/>
          <w:sz w:val="24"/>
          <w:szCs w:val="24"/>
          <w:lang w:val="en-US"/>
        </w:rPr>
      </w:pPr>
      <w:r w:rsidRPr="00496D2B">
        <w:rPr>
          <w:rFonts w:ascii="Arial" w:eastAsia="Arial" w:hAnsi="Arial" w:cs="Arial"/>
          <w:sz w:val="24"/>
          <w:szCs w:val="24"/>
          <w:highlight w:val="white"/>
          <w:lang w:val="en-US"/>
        </w:rPr>
        <w:t>Nitko, A. J. (1994). A Model for Curriculum-Driven Criterion-Referenced and Norm-Referenced National Examinations for Certification and Selection of Students.</w:t>
      </w:r>
    </w:p>
    <w:p w14:paraId="0CA65602" w14:textId="77777777" w:rsidR="009E4AA1" w:rsidRPr="00496D2B" w:rsidRDefault="005A671D">
      <w:pPr>
        <w:numPr>
          <w:ilvl w:val="0"/>
          <w:numId w:val="1"/>
        </w:numPr>
        <w:spacing w:after="0" w:line="360" w:lineRule="auto"/>
        <w:ind w:right="138"/>
        <w:jc w:val="both"/>
        <w:rPr>
          <w:rFonts w:ascii="Arial" w:eastAsia="Arial" w:hAnsi="Arial" w:cs="Arial"/>
          <w:sz w:val="24"/>
          <w:szCs w:val="24"/>
          <w:lang w:val="en-US"/>
        </w:rPr>
      </w:pPr>
      <w:r w:rsidRPr="00496D2B">
        <w:rPr>
          <w:rFonts w:ascii="Arial" w:eastAsia="Arial" w:hAnsi="Arial" w:cs="Arial"/>
          <w:sz w:val="24"/>
          <w:szCs w:val="24"/>
          <w:highlight w:val="white"/>
          <w:lang w:val="en-US"/>
        </w:rPr>
        <w:t xml:space="preserve">Schmeiser, C. y Welch, C. (2006). Test Development. En: Brennan, R. L. (ed.), </w:t>
      </w:r>
      <w:r w:rsidRPr="00496D2B">
        <w:rPr>
          <w:rFonts w:ascii="Arial" w:eastAsia="Arial" w:hAnsi="Arial" w:cs="Arial"/>
          <w:i/>
          <w:sz w:val="24"/>
          <w:szCs w:val="24"/>
          <w:highlight w:val="white"/>
          <w:lang w:val="en-US"/>
        </w:rPr>
        <w:t>Educational Measurement</w:t>
      </w:r>
      <w:r w:rsidRPr="00496D2B">
        <w:rPr>
          <w:rFonts w:ascii="Arial" w:eastAsia="Arial" w:hAnsi="Arial" w:cs="Arial"/>
          <w:sz w:val="24"/>
          <w:szCs w:val="24"/>
          <w:highlight w:val="white"/>
          <w:lang w:val="en-US"/>
        </w:rPr>
        <w:t xml:space="preserve"> (pp. 307-354). Washington, DC: American Council on Education. Praeger Series on Higher Education.</w:t>
      </w:r>
    </w:p>
    <w:p w14:paraId="643E31C3" w14:textId="77777777" w:rsidR="009E4AA1" w:rsidRDefault="005A671D">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 Marco para la excelencia en la enseñanza y la gestión escolar en la Educación Básica: Perfiles profesionales, criterios e indicadores para docentes, técnicos docentes y personal con funciones de dirección y supervisión. Ciclo escolar 2020-2021.</w:t>
      </w:r>
    </w:p>
    <w:p w14:paraId="4107F808" w14:textId="77777777" w:rsidR="009E4AA1" w:rsidRDefault="005A671D">
      <w:pPr>
        <w:numPr>
          <w:ilvl w:val="0"/>
          <w:numId w:val="1"/>
        </w:numPr>
        <w:spacing w:after="0" w:line="360" w:lineRule="auto"/>
        <w:ind w:right="138"/>
        <w:jc w:val="both"/>
        <w:rPr>
          <w:rFonts w:ascii="Arial" w:eastAsia="Arial" w:hAnsi="Arial" w:cs="Arial"/>
          <w:sz w:val="24"/>
          <w:szCs w:val="24"/>
          <w:highlight w:val="white"/>
        </w:rPr>
      </w:pPr>
      <w:r>
        <w:rPr>
          <w:rFonts w:ascii="Arial" w:eastAsia="Arial" w:hAnsi="Arial" w:cs="Arial"/>
          <w:sz w:val="24"/>
          <w:szCs w:val="24"/>
          <w:highlight w:val="white"/>
        </w:rPr>
        <w:t xml:space="preserve">Sorrel, M. A., Olea, J., Abad, F. J., de la Torre, J., Aguado, D., &amp; Lievens, F. (2016). </w:t>
      </w:r>
    </w:p>
    <w:p w14:paraId="69C31DDA" w14:textId="77777777" w:rsidR="009E4AA1" w:rsidRPr="00496D2B" w:rsidRDefault="005A671D">
      <w:pPr>
        <w:numPr>
          <w:ilvl w:val="0"/>
          <w:numId w:val="1"/>
        </w:numPr>
        <w:spacing w:after="0" w:line="360" w:lineRule="auto"/>
        <w:ind w:right="138"/>
        <w:jc w:val="both"/>
        <w:rPr>
          <w:rFonts w:ascii="Arial" w:eastAsia="Arial" w:hAnsi="Arial" w:cs="Arial"/>
          <w:sz w:val="24"/>
          <w:szCs w:val="24"/>
          <w:highlight w:val="white"/>
          <w:lang w:val="en-US"/>
        </w:rPr>
      </w:pPr>
      <w:r w:rsidRPr="00496D2B">
        <w:rPr>
          <w:rFonts w:ascii="Arial" w:eastAsia="Arial" w:hAnsi="Arial" w:cs="Arial"/>
          <w:sz w:val="24"/>
          <w:szCs w:val="24"/>
          <w:highlight w:val="white"/>
          <w:lang w:val="en-US"/>
        </w:rPr>
        <w:t xml:space="preserve">Thomas, E. J. (1985, July). The validity of design and development and related concepts in developmental research. In </w:t>
      </w:r>
      <w:r w:rsidRPr="00496D2B">
        <w:rPr>
          <w:rFonts w:ascii="Arial" w:eastAsia="Arial" w:hAnsi="Arial" w:cs="Arial"/>
          <w:i/>
          <w:sz w:val="24"/>
          <w:szCs w:val="24"/>
          <w:highlight w:val="white"/>
          <w:lang w:val="en-US"/>
        </w:rPr>
        <w:t>Social Work Research and Abstracts</w:t>
      </w:r>
      <w:r w:rsidRPr="00496D2B">
        <w:rPr>
          <w:rFonts w:ascii="Arial" w:eastAsia="Arial" w:hAnsi="Arial" w:cs="Arial"/>
          <w:sz w:val="24"/>
          <w:szCs w:val="24"/>
          <w:highlight w:val="white"/>
          <w:lang w:val="en-US"/>
        </w:rPr>
        <w:t xml:space="preserve"> (Vol. 21, No. 2, pp. 50-55). Oxford University Press.</w:t>
      </w:r>
    </w:p>
    <w:p w14:paraId="7D5D10F4" w14:textId="77777777" w:rsidR="009E4AA1" w:rsidRPr="00496D2B" w:rsidRDefault="009E4AA1">
      <w:pPr>
        <w:spacing w:after="0" w:line="360" w:lineRule="auto"/>
        <w:ind w:left="720" w:right="138"/>
        <w:jc w:val="both"/>
        <w:rPr>
          <w:rFonts w:ascii="Arial" w:eastAsia="Arial" w:hAnsi="Arial" w:cs="Arial"/>
          <w:sz w:val="24"/>
          <w:szCs w:val="24"/>
          <w:highlight w:val="white"/>
          <w:lang w:val="en-US"/>
        </w:rPr>
      </w:pPr>
    </w:p>
    <w:p w14:paraId="76605BE5" w14:textId="77777777" w:rsidR="009E4AA1" w:rsidRPr="00496D2B" w:rsidRDefault="009E4AA1">
      <w:pPr>
        <w:spacing w:after="0" w:line="360" w:lineRule="auto"/>
        <w:ind w:left="720" w:right="138"/>
        <w:jc w:val="both"/>
        <w:rPr>
          <w:rFonts w:ascii="Arial" w:eastAsia="Arial" w:hAnsi="Arial" w:cs="Arial"/>
          <w:sz w:val="24"/>
          <w:szCs w:val="24"/>
          <w:highlight w:val="white"/>
          <w:lang w:val="en-US"/>
        </w:rPr>
      </w:pPr>
    </w:p>
    <w:p w14:paraId="69B258C0" w14:textId="77777777" w:rsidR="009E4AA1" w:rsidRPr="00496D2B" w:rsidRDefault="009E4AA1">
      <w:pPr>
        <w:spacing w:line="360" w:lineRule="auto"/>
        <w:ind w:left="425"/>
        <w:jc w:val="both"/>
        <w:rPr>
          <w:rFonts w:ascii="Arial" w:eastAsia="Arial" w:hAnsi="Arial" w:cs="Arial"/>
          <w:b/>
          <w:sz w:val="24"/>
          <w:szCs w:val="24"/>
          <w:lang w:val="en-US"/>
        </w:rPr>
      </w:pPr>
    </w:p>
    <w:p w14:paraId="7A03A1A0" w14:textId="77777777" w:rsidR="009E4AA1" w:rsidRPr="00496D2B" w:rsidRDefault="009E4AA1">
      <w:pPr>
        <w:spacing w:line="360" w:lineRule="auto"/>
        <w:ind w:left="425"/>
        <w:jc w:val="both"/>
        <w:rPr>
          <w:rFonts w:ascii="Arial" w:eastAsia="Arial" w:hAnsi="Arial" w:cs="Arial"/>
          <w:b/>
          <w:sz w:val="24"/>
          <w:szCs w:val="24"/>
          <w:lang w:val="en-US"/>
        </w:rPr>
      </w:pPr>
    </w:p>
    <w:p w14:paraId="785C7C32" w14:textId="77777777" w:rsidR="009E4AA1" w:rsidRPr="00496D2B" w:rsidRDefault="009E4AA1">
      <w:pPr>
        <w:spacing w:line="360" w:lineRule="auto"/>
        <w:ind w:left="425"/>
        <w:jc w:val="both"/>
        <w:rPr>
          <w:rFonts w:ascii="Arial" w:eastAsia="Arial" w:hAnsi="Arial" w:cs="Arial"/>
          <w:b/>
          <w:sz w:val="24"/>
          <w:szCs w:val="24"/>
          <w:lang w:val="en-US"/>
        </w:rPr>
      </w:pPr>
    </w:p>
    <w:p w14:paraId="0F157AC9" w14:textId="77777777" w:rsidR="009E4AA1" w:rsidRPr="00496D2B" w:rsidRDefault="009E4AA1">
      <w:pPr>
        <w:spacing w:line="360" w:lineRule="auto"/>
        <w:ind w:left="425"/>
        <w:jc w:val="both"/>
        <w:rPr>
          <w:rFonts w:ascii="Arial" w:eastAsia="Arial" w:hAnsi="Arial" w:cs="Arial"/>
          <w:b/>
          <w:sz w:val="24"/>
          <w:szCs w:val="24"/>
          <w:lang w:val="en-US"/>
        </w:rPr>
      </w:pPr>
    </w:p>
    <w:p w14:paraId="29719F27" w14:textId="77777777" w:rsidR="009E4AA1" w:rsidRDefault="005A671D">
      <w:pPr>
        <w:spacing w:line="360" w:lineRule="auto"/>
        <w:jc w:val="both"/>
        <w:rPr>
          <w:rFonts w:ascii="Arial" w:eastAsia="Arial" w:hAnsi="Arial" w:cs="Arial"/>
          <w:sz w:val="30"/>
          <w:szCs w:val="30"/>
        </w:rPr>
      </w:pPr>
      <w:r>
        <w:rPr>
          <w:rFonts w:ascii="Arial" w:eastAsia="Arial" w:hAnsi="Arial" w:cs="Arial"/>
          <w:b/>
          <w:sz w:val="30"/>
          <w:szCs w:val="30"/>
        </w:rPr>
        <w:lastRenderedPageBreak/>
        <w:t>IV. Anexos o Apéndice</w:t>
      </w:r>
    </w:p>
    <w:p w14:paraId="06F36AE5" w14:textId="77777777" w:rsidR="009E4AA1" w:rsidRDefault="009E4AA1">
      <w:pPr>
        <w:spacing w:line="360" w:lineRule="auto"/>
        <w:ind w:left="425"/>
        <w:jc w:val="both"/>
        <w:rPr>
          <w:rFonts w:ascii="Arial" w:eastAsia="Arial" w:hAnsi="Arial" w:cs="Arial"/>
          <w:sz w:val="24"/>
          <w:szCs w:val="24"/>
        </w:rPr>
      </w:pPr>
    </w:p>
    <w:p w14:paraId="435890DC" w14:textId="77777777" w:rsidR="009E4AA1" w:rsidRDefault="009E4AA1">
      <w:pPr>
        <w:ind w:left="425"/>
        <w:rPr>
          <w:b/>
          <w:sz w:val="24"/>
          <w:szCs w:val="24"/>
        </w:rPr>
      </w:pPr>
    </w:p>
    <w:sectPr w:rsidR="009E4AA1">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D2741" w14:textId="77777777" w:rsidR="00C94B7D" w:rsidRDefault="00C94B7D">
      <w:pPr>
        <w:spacing w:after="0" w:line="240" w:lineRule="auto"/>
      </w:pPr>
      <w:r>
        <w:separator/>
      </w:r>
    </w:p>
  </w:endnote>
  <w:endnote w:type="continuationSeparator" w:id="0">
    <w:p w14:paraId="430CFD97" w14:textId="77777777" w:rsidR="00C94B7D" w:rsidRDefault="00C94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4049AB" w14:textId="77777777" w:rsidR="00C94B7D" w:rsidRDefault="00C94B7D">
      <w:pPr>
        <w:spacing w:after="0" w:line="240" w:lineRule="auto"/>
      </w:pPr>
      <w:r>
        <w:separator/>
      </w:r>
    </w:p>
  </w:footnote>
  <w:footnote w:type="continuationSeparator" w:id="0">
    <w:p w14:paraId="4651A017" w14:textId="77777777" w:rsidR="00C94B7D" w:rsidRDefault="00C94B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ED4D68"/>
    <w:multiLevelType w:val="multilevel"/>
    <w:tmpl w:val="AD203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AA1"/>
    <w:rsid w:val="00496D2B"/>
    <w:rsid w:val="005A671D"/>
    <w:rsid w:val="00756575"/>
    <w:rsid w:val="009E4AA1"/>
    <w:rsid w:val="00BD40B3"/>
    <w:rsid w:val="00C94B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B2C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5"/>
    <w:tblPr>
      <w:tblStyleRowBandSize w:val="1"/>
      <w:tblStyleColBandSize w:val="1"/>
      <w:tblCellMar>
        <w:top w:w="100" w:type="dxa"/>
        <w:left w:w="100" w:type="dxa"/>
        <w:bottom w:w="100" w:type="dxa"/>
        <w:right w:w="100" w:type="dxa"/>
      </w:tblCellMar>
    </w:tblPr>
  </w:style>
  <w:style w:type="table" w:customStyle="1" w:styleId="a0">
    <w:basedOn w:val="TableNormal5"/>
    <w:tblPr>
      <w:tblStyleRowBandSize w:val="1"/>
      <w:tblStyleColBandSize w:val="1"/>
      <w:tblCellMar>
        <w:top w:w="100" w:type="dxa"/>
        <w:left w:w="100" w:type="dxa"/>
        <w:bottom w:w="100" w:type="dxa"/>
        <w:right w:w="100" w:type="dxa"/>
      </w:tblCellMar>
    </w:tblPr>
  </w:style>
  <w:style w:type="table" w:customStyle="1" w:styleId="a1">
    <w:basedOn w:val="TableNormal5"/>
    <w:tblPr>
      <w:tblStyleRowBandSize w:val="1"/>
      <w:tblStyleColBandSize w:val="1"/>
      <w:tblCellMar>
        <w:top w:w="100" w:type="dxa"/>
        <w:left w:w="100" w:type="dxa"/>
        <w:bottom w:w="100" w:type="dxa"/>
        <w:right w:w="100" w:type="dxa"/>
      </w:tblCellMar>
    </w:tblPr>
  </w:style>
  <w:style w:type="table" w:customStyle="1" w:styleId="a2">
    <w:basedOn w:val="TableNormal5"/>
    <w:tblPr>
      <w:tblStyleRowBandSize w:val="1"/>
      <w:tblStyleColBandSize w:val="1"/>
      <w:tblCellMar>
        <w:top w:w="100" w:type="dxa"/>
        <w:left w:w="100" w:type="dxa"/>
        <w:bottom w:w="100" w:type="dxa"/>
        <w:right w:w="100" w:type="dxa"/>
      </w:tblCellMar>
    </w:tblPr>
  </w:style>
  <w:style w:type="table" w:customStyle="1" w:styleId="a3">
    <w:basedOn w:val="TableNormal5"/>
    <w:tblPr>
      <w:tblStyleRowBandSize w:val="1"/>
      <w:tblStyleColBandSize w:val="1"/>
      <w:tblCellMar>
        <w:top w:w="100" w:type="dxa"/>
        <w:left w:w="100" w:type="dxa"/>
        <w:bottom w:w="100" w:type="dxa"/>
        <w:right w:w="100" w:type="dxa"/>
      </w:tblCellMar>
    </w:tblPr>
  </w:style>
  <w:style w:type="table" w:customStyle="1" w:styleId="a4">
    <w:basedOn w:val="TableNormal5"/>
    <w:tblPr>
      <w:tblStyleRowBandSize w:val="1"/>
      <w:tblStyleColBandSize w:val="1"/>
      <w:tblCellMar>
        <w:top w:w="100" w:type="dxa"/>
        <w:left w:w="100" w:type="dxa"/>
        <w:bottom w:w="100" w:type="dxa"/>
        <w:right w:w="100" w:type="dxa"/>
      </w:tblCellMar>
    </w:tblPr>
  </w:style>
  <w:style w:type="table" w:customStyle="1" w:styleId="a5">
    <w:basedOn w:val="TableNormal5"/>
    <w:tblPr>
      <w:tblStyleRowBandSize w:val="1"/>
      <w:tblStyleColBandSize w:val="1"/>
      <w:tblCellMar>
        <w:top w:w="100" w:type="dxa"/>
        <w:left w:w="100" w:type="dxa"/>
        <w:bottom w:w="100" w:type="dxa"/>
        <w:right w:w="100" w:type="dxa"/>
      </w:tblCellMar>
    </w:tblPr>
  </w:style>
  <w:style w:type="table" w:customStyle="1" w:styleId="a6">
    <w:basedOn w:val="TableNormal5"/>
    <w:tblPr>
      <w:tblStyleRowBandSize w:val="1"/>
      <w:tblStyleColBandSize w:val="1"/>
      <w:tblCellMar>
        <w:top w:w="100" w:type="dxa"/>
        <w:left w:w="100" w:type="dxa"/>
        <w:bottom w:w="100" w:type="dxa"/>
        <w:right w:w="100" w:type="dxa"/>
      </w:tblCellMar>
    </w:tblPr>
  </w:style>
  <w:style w:type="table" w:customStyle="1" w:styleId="a7">
    <w:basedOn w:val="TableNormal5"/>
    <w:tblPr>
      <w:tblStyleRowBandSize w:val="1"/>
      <w:tblStyleColBandSize w:val="1"/>
      <w:tblCellMar>
        <w:top w:w="100" w:type="dxa"/>
        <w:left w:w="100" w:type="dxa"/>
        <w:bottom w:w="100" w:type="dxa"/>
        <w:right w:w="100" w:type="dxa"/>
      </w:tblCellMar>
    </w:tblPr>
  </w:style>
  <w:style w:type="table" w:customStyle="1" w:styleId="a8">
    <w:basedOn w:val="TableNormal5"/>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D40B3"/>
    <w:pPr>
      <w:tabs>
        <w:tab w:val="center" w:pos="4419"/>
        <w:tab w:val="right" w:pos="8838"/>
      </w:tabs>
      <w:spacing w:after="0" w:line="240" w:lineRule="auto"/>
    </w:pPr>
  </w:style>
  <w:style w:type="character" w:customStyle="1" w:styleId="HeaderChar">
    <w:name w:val="Header Char"/>
    <w:basedOn w:val="DefaultParagraphFont"/>
    <w:link w:val="Header"/>
    <w:uiPriority w:val="99"/>
    <w:rsid w:val="00BD40B3"/>
  </w:style>
  <w:style w:type="paragraph" w:styleId="Footer">
    <w:name w:val="footer"/>
    <w:basedOn w:val="Normal"/>
    <w:link w:val="FooterChar"/>
    <w:uiPriority w:val="99"/>
    <w:unhideWhenUsed/>
    <w:rsid w:val="00BD40B3"/>
    <w:pPr>
      <w:tabs>
        <w:tab w:val="center" w:pos="4419"/>
        <w:tab w:val="right" w:pos="8838"/>
      </w:tabs>
      <w:spacing w:after="0" w:line="240" w:lineRule="auto"/>
    </w:pPr>
  </w:style>
  <w:style w:type="character" w:customStyle="1" w:styleId="FooterChar">
    <w:name w:val="Footer Char"/>
    <w:basedOn w:val="DefaultParagraphFont"/>
    <w:link w:val="Footer"/>
    <w:uiPriority w:val="99"/>
    <w:rsid w:val="00BD40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5056</Words>
  <Characters>27814</Characters>
  <Application>Microsoft Office Word</Application>
  <DocSecurity>0</DocSecurity>
  <Lines>231</Lines>
  <Paragraphs>65</Paragraphs>
  <ScaleCrop>false</ScaleCrop>
  <Company/>
  <LinksUpToDate>false</LinksUpToDate>
  <CharactersWithSpaces>32805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2020-03-06T02:03:00Z</dcterms:created>
  <dcterms:modified xsi:type="dcterms:W3CDTF">2020-03-06T02:03:00Z</dcterms:modified>
</cp:coreProperties>
</file>