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4813B" w14:textId="77777777" w:rsidR="00461546" w:rsidRDefault="00461546">
      <w:pPr>
        <w:spacing w:after="160"/>
        <w:jc w:val="center"/>
        <w:rPr>
          <w:rFonts w:ascii="Calibri" w:eastAsia="Calibri" w:hAnsi="Calibri" w:cs="Calibri"/>
          <w:b/>
          <w:sz w:val="44"/>
          <w:szCs w:val="44"/>
        </w:rPr>
      </w:pPr>
    </w:p>
    <w:p w14:paraId="7D1E9098" w14:textId="77777777" w:rsidR="00461546" w:rsidRPr="00FB0889" w:rsidRDefault="00FB0889">
      <w:pPr>
        <w:spacing w:after="160"/>
        <w:jc w:val="center"/>
        <w:rPr>
          <w:b/>
          <w:sz w:val="44"/>
          <w:szCs w:val="44"/>
          <w:lang w:val="es-MX"/>
        </w:rPr>
      </w:pPr>
      <w:r w:rsidRPr="00FB0889">
        <w:rPr>
          <w:b/>
          <w:sz w:val="44"/>
          <w:szCs w:val="44"/>
          <w:lang w:val="es-MX"/>
        </w:rPr>
        <w:t>Plan de Diseño, Desarrollo y Validación de la encuesta de percepción a pares sobre el trabajo directivo y aportaciones al colectivo escolar para aspirantes a supervisor como parte del proceso de selección para la promoción vertical.</w:t>
      </w:r>
    </w:p>
    <w:p w14:paraId="189E0118" w14:textId="77777777" w:rsidR="00461546" w:rsidRPr="00FB0889" w:rsidRDefault="00461546">
      <w:pPr>
        <w:spacing w:after="160"/>
        <w:jc w:val="center"/>
        <w:rPr>
          <w:b/>
          <w:sz w:val="44"/>
          <w:szCs w:val="44"/>
          <w:highlight w:val="yellow"/>
          <w:lang w:val="es-MX"/>
        </w:rPr>
      </w:pPr>
    </w:p>
    <w:p w14:paraId="009CC286" w14:textId="77777777" w:rsidR="00461546" w:rsidRPr="00FB0889" w:rsidRDefault="00FB0889">
      <w:pPr>
        <w:spacing w:after="160"/>
        <w:jc w:val="center"/>
        <w:rPr>
          <w:sz w:val="44"/>
          <w:szCs w:val="44"/>
          <w:u w:val="single"/>
          <w:lang w:val="es-MX"/>
        </w:rPr>
      </w:pPr>
      <w:r w:rsidRPr="00FB0889">
        <w:rPr>
          <w:sz w:val="44"/>
          <w:szCs w:val="44"/>
          <w:u w:val="single"/>
          <w:lang w:val="es-MX"/>
        </w:rPr>
        <w:t>(Versión Preliminar)</w:t>
      </w:r>
    </w:p>
    <w:p w14:paraId="18DF4920" w14:textId="77777777" w:rsidR="00461546" w:rsidRPr="00FB0889" w:rsidRDefault="00461546">
      <w:pPr>
        <w:spacing w:after="160"/>
        <w:jc w:val="center"/>
        <w:rPr>
          <w:sz w:val="44"/>
          <w:szCs w:val="44"/>
          <w:u w:val="single"/>
          <w:lang w:val="es-MX"/>
        </w:rPr>
      </w:pPr>
    </w:p>
    <w:p w14:paraId="62DCB4F3" w14:textId="1D9F952C" w:rsidR="00461546" w:rsidRDefault="00461546">
      <w:pPr>
        <w:spacing w:after="160"/>
        <w:jc w:val="center"/>
        <w:rPr>
          <w:b/>
          <w:sz w:val="24"/>
          <w:szCs w:val="24"/>
          <w:lang w:val="es-MX"/>
        </w:rPr>
      </w:pPr>
    </w:p>
    <w:p w14:paraId="0E2A7D66" w14:textId="0F195F51" w:rsidR="00181DD1" w:rsidRDefault="00181DD1">
      <w:pPr>
        <w:spacing w:after="160"/>
        <w:jc w:val="center"/>
        <w:rPr>
          <w:b/>
          <w:sz w:val="24"/>
          <w:szCs w:val="24"/>
          <w:lang w:val="es-MX"/>
        </w:rPr>
      </w:pPr>
    </w:p>
    <w:p w14:paraId="5B6A4ED0" w14:textId="185E57BC" w:rsidR="00181DD1" w:rsidRDefault="00181DD1">
      <w:pPr>
        <w:spacing w:after="160"/>
        <w:jc w:val="center"/>
        <w:rPr>
          <w:b/>
          <w:sz w:val="24"/>
          <w:szCs w:val="24"/>
          <w:lang w:val="es-MX"/>
        </w:rPr>
      </w:pPr>
    </w:p>
    <w:p w14:paraId="7658766C" w14:textId="77777777" w:rsidR="00181DD1" w:rsidRPr="00FB0889" w:rsidRDefault="00181DD1">
      <w:pPr>
        <w:spacing w:after="160"/>
        <w:jc w:val="center"/>
        <w:rPr>
          <w:b/>
          <w:sz w:val="24"/>
          <w:szCs w:val="24"/>
          <w:lang w:val="es-MX"/>
        </w:rPr>
      </w:pPr>
      <w:bookmarkStart w:id="0" w:name="_GoBack"/>
      <w:bookmarkEnd w:id="0"/>
    </w:p>
    <w:p w14:paraId="4816C484" w14:textId="77777777" w:rsidR="00461546" w:rsidRPr="00FB0889" w:rsidRDefault="00461546">
      <w:pPr>
        <w:spacing w:after="160"/>
        <w:jc w:val="center"/>
        <w:rPr>
          <w:b/>
          <w:sz w:val="24"/>
          <w:szCs w:val="24"/>
          <w:lang w:val="es-MX"/>
        </w:rPr>
      </w:pPr>
    </w:p>
    <w:p w14:paraId="2C7DC78F" w14:textId="77777777" w:rsidR="00461546" w:rsidRPr="00FB0889" w:rsidRDefault="00461546">
      <w:pPr>
        <w:spacing w:after="160"/>
        <w:jc w:val="center"/>
        <w:rPr>
          <w:b/>
          <w:sz w:val="24"/>
          <w:szCs w:val="24"/>
          <w:lang w:val="es-MX"/>
        </w:rPr>
      </w:pPr>
    </w:p>
    <w:p w14:paraId="705D76FD" w14:textId="77777777" w:rsidR="00461546" w:rsidRPr="00FB0889" w:rsidRDefault="00461546">
      <w:pPr>
        <w:spacing w:after="160"/>
        <w:jc w:val="center"/>
        <w:rPr>
          <w:b/>
          <w:sz w:val="24"/>
          <w:szCs w:val="24"/>
          <w:lang w:val="es-MX"/>
        </w:rPr>
      </w:pPr>
    </w:p>
    <w:p w14:paraId="4CAAB109" w14:textId="77777777" w:rsidR="00461546" w:rsidRPr="00FB0889" w:rsidRDefault="00461546">
      <w:pPr>
        <w:spacing w:after="160"/>
        <w:jc w:val="center"/>
        <w:rPr>
          <w:b/>
          <w:sz w:val="24"/>
          <w:szCs w:val="24"/>
          <w:lang w:val="es-MX"/>
        </w:rPr>
      </w:pPr>
    </w:p>
    <w:p w14:paraId="4B567A1D" w14:textId="77777777" w:rsidR="00461546" w:rsidRPr="00FB0889" w:rsidRDefault="00461546">
      <w:pPr>
        <w:spacing w:after="160"/>
        <w:jc w:val="center"/>
        <w:rPr>
          <w:b/>
          <w:sz w:val="24"/>
          <w:szCs w:val="24"/>
          <w:lang w:val="es-MX"/>
        </w:rPr>
      </w:pPr>
    </w:p>
    <w:p w14:paraId="4F978E30" w14:textId="77777777" w:rsidR="00461546" w:rsidRPr="00FB0889" w:rsidRDefault="00461546">
      <w:pPr>
        <w:spacing w:after="160"/>
        <w:jc w:val="center"/>
        <w:rPr>
          <w:b/>
          <w:sz w:val="24"/>
          <w:szCs w:val="24"/>
          <w:lang w:val="es-MX"/>
        </w:rPr>
      </w:pPr>
    </w:p>
    <w:p w14:paraId="0436B79C" w14:textId="77777777" w:rsidR="00461546" w:rsidRPr="00FB0889" w:rsidRDefault="00461546">
      <w:pPr>
        <w:spacing w:after="160"/>
        <w:jc w:val="center"/>
        <w:rPr>
          <w:b/>
          <w:sz w:val="24"/>
          <w:szCs w:val="24"/>
          <w:lang w:val="es-MX"/>
        </w:rPr>
      </w:pPr>
    </w:p>
    <w:p w14:paraId="422E8BED" w14:textId="7BAB8A0E" w:rsidR="00461546" w:rsidRPr="00FB0889" w:rsidRDefault="00FB0889">
      <w:pPr>
        <w:widowControl w:val="0"/>
        <w:spacing w:line="240" w:lineRule="auto"/>
        <w:ind w:left="425" w:right="138"/>
        <w:rPr>
          <w:sz w:val="24"/>
          <w:szCs w:val="24"/>
          <w:lang w:val="es-MX"/>
        </w:rPr>
      </w:pPr>
      <w:r w:rsidRPr="00FB0889">
        <w:rPr>
          <w:sz w:val="24"/>
          <w:szCs w:val="24"/>
          <w:lang w:val="es-MX"/>
        </w:rPr>
        <w:t>Coyoacán, Ciudad de México a 4 de marzo de 2020</w:t>
      </w:r>
    </w:p>
    <w:p w14:paraId="7EDC348B" w14:textId="60D8A344" w:rsidR="00FB0889" w:rsidRPr="00FB0889" w:rsidRDefault="00FB0889">
      <w:pPr>
        <w:widowControl w:val="0"/>
        <w:spacing w:line="240" w:lineRule="auto"/>
        <w:ind w:left="425" w:right="138"/>
        <w:rPr>
          <w:sz w:val="24"/>
          <w:szCs w:val="24"/>
          <w:lang w:val="es-MX"/>
        </w:rPr>
      </w:pPr>
    </w:p>
    <w:p w14:paraId="71FC61C2" w14:textId="77777777" w:rsidR="00FB0889" w:rsidRPr="00FB0889" w:rsidRDefault="00FB0889">
      <w:pPr>
        <w:widowControl w:val="0"/>
        <w:spacing w:line="240" w:lineRule="auto"/>
        <w:ind w:left="425" w:right="138"/>
        <w:rPr>
          <w:sz w:val="24"/>
          <w:szCs w:val="24"/>
          <w:lang w:val="es-MX"/>
        </w:rPr>
      </w:pPr>
    </w:p>
    <w:p w14:paraId="0EBADC0A" w14:textId="77777777" w:rsidR="00461546" w:rsidRPr="00FB0889" w:rsidRDefault="00FB0889">
      <w:pPr>
        <w:spacing w:after="160"/>
        <w:rPr>
          <w:b/>
          <w:sz w:val="24"/>
          <w:szCs w:val="24"/>
          <w:lang w:val="es-MX"/>
        </w:rPr>
      </w:pPr>
      <w:r w:rsidRPr="00FB0889">
        <w:rPr>
          <w:b/>
          <w:sz w:val="24"/>
          <w:szCs w:val="24"/>
          <w:lang w:val="es-MX"/>
        </w:rPr>
        <w:lastRenderedPageBreak/>
        <w:t>Índice de contenidos</w:t>
      </w:r>
    </w:p>
    <w:p w14:paraId="3198366A" w14:textId="77777777" w:rsidR="00461546" w:rsidRPr="00FB0889" w:rsidRDefault="00461546">
      <w:pPr>
        <w:spacing w:after="160"/>
        <w:rPr>
          <w:b/>
          <w:sz w:val="24"/>
          <w:szCs w:val="24"/>
          <w:lang w:val="es-MX"/>
        </w:rPr>
      </w:pPr>
    </w:p>
    <w:p w14:paraId="376C3EA0" w14:textId="77777777" w:rsidR="00461546" w:rsidRPr="00FB0889" w:rsidRDefault="00FB0889">
      <w:pPr>
        <w:spacing w:after="160"/>
        <w:ind w:left="992"/>
        <w:rPr>
          <w:b/>
          <w:sz w:val="24"/>
          <w:szCs w:val="24"/>
          <w:lang w:val="es-MX"/>
        </w:rPr>
      </w:pPr>
      <w:r w:rsidRPr="00FB0889">
        <w:rPr>
          <w:b/>
          <w:sz w:val="24"/>
          <w:szCs w:val="24"/>
          <w:lang w:val="es-MX"/>
        </w:rPr>
        <w:t>Índice de contenidos</w:t>
      </w:r>
    </w:p>
    <w:p w14:paraId="4EAB49DB" w14:textId="77777777" w:rsidR="00461546" w:rsidRPr="00FB0889" w:rsidRDefault="00FB0889">
      <w:pPr>
        <w:spacing w:after="160"/>
        <w:ind w:left="992"/>
        <w:rPr>
          <w:b/>
          <w:sz w:val="24"/>
          <w:szCs w:val="24"/>
          <w:lang w:val="es-MX"/>
        </w:rPr>
      </w:pPr>
      <w:r w:rsidRPr="00FB0889">
        <w:rPr>
          <w:b/>
          <w:sz w:val="24"/>
          <w:szCs w:val="24"/>
          <w:lang w:val="es-MX"/>
        </w:rPr>
        <w:t>Índice de figuras y tablas</w:t>
      </w:r>
    </w:p>
    <w:p w14:paraId="1C3D2636" w14:textId="77777777" w:rsidR="00461546" w:rsidRPr="00FB0889" w:rsidRDefault="00FB0889">
      <w:pPr>
        <w:spacing w:after="160"/>
        <w:ind w:left="992"/>
        <w:rPr>
          <w:b/>
          <w:sz w:val="24"/>
          <w:szCs w:val="24"/>
          <w:lang w:val="es-MX"/>
        </w:rPr>
      </w:pPr>
      <w:r w:rsidRPr="00FB0889">
        <w:rPr>
          <w:b/>
          <w:sz w:val="24"/>
          <w:szCs w:val="24"/>
          <w:lang w:val="es-MX"/>
        </w:rPr>
        <w:t>Glosario, siglas y acrónimos</w:t>
      </w:r>
    </w:p>
    <w:p w14:paraId="70EF9C50" w14:textId="77777777" w:rsidR="00461546" w:rsidRPr="00FB0889" w:rsidRDefault="00461546">
      <w:pPr>
        <w:spacing w:after="160"/>
        <w:ind w:left="1133"/>
        <w:rPr>
          <w:b/>
          <w:sz w:val="24"/>
          <w:szCs w:val="24"/>
          <w:lang w:val="es-MX"/>
        </w:rPr>
      </w:pPr>
    </w:p>
    <w:p w14:paraId="334C99D5" w14:textId="77777777" w:rsidR="00461546" w:rsidRPr="00FB0889" w:rsidRDefault="00FB0889">
      <w:pPr>
        <w:spacing w:after="160"/>
        <w:ind w:left="1700"/>
        <w:rPr>
          <w:b/>
          <w:sz w:val="24"/>
          <w:szCs w:val="24"/>
          <w:lang w:val="es-MX"/>
        </w:rPr>
      </w:pPr>
      <w:r w:rsidRPr="00FB0889">
        <w:rPr>
          <w:b/>
          <w:sz w:val="24"/>
          <w:szCs w:val="24"/>
          <w:lang w:val="es-MX"/>
        </w:rPr>
        <w:t>I. Introducción</w:t>
      </w:r>
    </w:p>
    <w:p w14:paraId="1CB64218" w14:textId="77777777" w:rsidR="00461546" w:rsidRPr="00FB0889" w:rsidRDefault="00461546">
      <w:pPr>
        <w:spacing w:after="160"/>
        <w:ind w:left="1700"/>
        <w:rPr>
          <w:b/>
          <w:sz w:val="24"/>
          <w:szCs w:val="24"/>
          <w:lang w:val="es-MX"/>
        </w:rPr>
      </w:pPr>
    </w:p>
    <w:p w14:paraId="171251A9" w14:textId="77777777" w:rsidR="00461546" w:rsidRPr="00FB0889" w:rsidRDefault="00FB0889">
      <w:pPr>
        <w:spacing w:after="160"/>
        <w:ind w:left="1700"/>
        <w:rPr>
          <w:b/>
          <w:sz w:val="24"/>
          <w:szCs w:val="24"/>
          <w:lang w:val="es-MX"/>
        </w:rPr>
      </w:pPr>
      <w:r w:rsidRPr="00FB0889">
        <w:rPr>
          <w:b/>
          <w:sz w:val="24"/>
          <w:szCs w:val="24"/>
          <w:lang w:val="es-MX"/>
        </w:rPr>
        <w:t>II. Marco metodológico</w:t>
      </w:r>
    </w:p>
    <w:p w14:paraId="34D38A0D" w14:textId="77777777" w:rsidR="00461546" w:rsidRPr="00FB0889" w:rsidRDefault="00FB0889">
      <w:pPr>
        <w:spacing w:after="160"/>
        <w:ind w:left="2125"/>
        <w:rPr>
          <w:b/>
          <w:sz w:val="24"/>
          <w:szCs w:val="24"/>
          <w:lang w:val="es-MX"/>
        </w:rPr>
      </w:pPr>
      <w:r w:rsidRPr="00FB0889">
        <w:rPr>
          <w:b/>
          <w:sz w:val="24"/>
          <w:szCs w:val="24"/>
          <w:lang w:val="es-MX"/>
        </w:rPr>
        <w:t>2.1. Enfoque de apreciación</w:t>
      </w:r>
    </w:p>
    <w:p w14:paraId="3263DD67" w14:textId="77777777" w:rsidR="00461546" w:rsidRPr="00FB0889" w:rsidRDefault="00FB0889">
      <w:pPr>
        <w:spacing w:after="160"/>
        <w:ind w:left="2125"/>
        <w:jc w:val="both"/>
        <w:rPr>
          <w:b/>
          <w:sz w:val="24"/>
          <w:szCs w:val="24"/>
          <w:lang w:val="es-MX"/>
        </w:rPr>
      </w:pPr>
      <w:bookmarkStart w:id="1" w:name="_gjdgxs" w:colFirst="0" w:colLast="0"/>
      <w:bookmarkEnd w:id="1"/>
      <w:r w:rsidRPr="00FB0889">
        <w:rPr>
          <w:b/>
          <w:sz w:val="24"/>
          <w:szCs w:val="24"/>
          <w:lang w:val="es-MX"/>
        </w:rPr>
        <w:t xml:space="preserve">2.2. Modelo de diseño, desarrollo y validación del instrumento de apreciación </w:t>
      </w:r>
    </w:p>
    <w:p w14:paraId="3C31999A" w14:textId="77777777" w:rsidR="00461546" w:rsidRPr="00FB0889" w:rsidRDefault="00FB0889">
      <w:pPr>
        <w:spacing w:after="160"/>
        <w:ind w:left="2834"/>
        <w:jc w:val="both"/>
        <w:rPr>
          <w:b/>
          <w:sz w:val="24"/>
          <w:szCs w:val="24"/>
          <w:lang w:val="es-MX"/>
        </w:rPr>
      </w:pPr>
      <w:r w:rsidRPr="00FB0889">
        <w:rPr>
          <w:b/>
          <w:sz w:val="24"/>
          <w:szCs w:val="24"/>
          <w:lang w:val="es-MX"/>
        </w:rPr>
        <w:t>2.2.1. Fase de diseño</w:t>
      </w:r>
    </w:p>
    <w:p w14:paraId="55DE72F9" w14:textId="77777777" w:rsidR="00461546" w:rsidRPr="00FB0889" w:rsidRDefault="00FB0889">
      <w:pPr>
        <w:spacing w:after="160"/>
        <w:ind w:left="2834"/>
        <w:jc w:val="both"/>
        <w:rPr>
          <w:b/>
          <w:sz w:val="24"/>
          <w:szCs w:val="24"/>
          <w:lang w:val="es-MX"/>
        </w:rPr>
      </w:pPr>
      <w:r w:rsidRPr="00FB0889">
        <w:rPr>
          <w:b/>
          <w:sz w:val="24"/>
          <w:szCs w:val="24"/>
          <w:lang w:val="es-MX"/>
        </w:rPr>
        <w:t>2.2.2. Fase de desarrollo</w:t>
      </w:r>
    </w:p>
    <w:p w14:paraId="51EDA5FA" w14:textId="77777777" w:rsidR="00461546" w:rsidRPr="00FB0889" w:rsidRDefault="00FB0889">
      <w:pPr>
        <w:spacing w:after="160"/>
        <w:ind w:left="2834"/>
        <w:jc w:val="both"/>
        <w:rPr>
          <w:b/>
          <w:sz w:val="24"/>
          <w:szCs w:val="24"/>
          <w:lang w:val="es-MX"/>
        </w:rPr>
      </w:pPr>
      <w:r w:rsidRPr="00FB0889">
        <w:rPr>
          <w:b/>
          <w:sz w:val="24"/>
          <w:szCs w:val="24"/>
          <w:lang w:val="es-MX"/>
        </w:rPr>
        <w:t>2.2.3 Fase de validación</w:t>
      </w:r>
    </w:p>
    <w:p w14:paraId="25055AC3" w14:textId="77777777" w:rsidR="00461546" w:rsidRPr="00FB0889" w:rsidRDefault="00461546">
      <w:pPr>
        <w:spacing w:after="160" w:line="259" w:lineRule="auto"/>
        <w:ind w:left="1700"/>
        <w:rPr>
          <w:b/>
          <w:sz w:val="24"/>
          <w:szCs w:val="24"/>
          <w:lang w:val="es-MX"/>
        </w:rPr>
      </w:pPr>
    </w:p>
    <w:p w14:paraId="5977B6BE" w14:textId="77777777" w:rsidR="00461546" w:rsidRPr="00FB0889" w:rsidRDefault="00FB0889">
      <w:pPr>
        <w:spacing w:after="160" w:line="259" w:lineRule="auto"/>
        <w:ind w:left="1700"/>
        <w:rPr>
          <w:b/>
          <w:sz w:val="24"/>
          <w:szCs w:val="24"/>
          <w:lang w:val="es-MX"/>
        </w:rPr>
      </w:pPr>
      <w:r w:rsidRPr="00FB0889">
        <w:rPr>
          <w:b/>
          <w:sz w:val="24"/>
          <w:szCs w:val="24"/>
          <w:lang w:val="es-MX"/>
        </w:rPr>
        <w:t>III. Referencias</w:t>
      </w:r>
    </w:p>
    <w:p w14:paraId="60AA70F0" w14:textId="77777777" w:rsidR="00461546" w:rsidRPr="00FB0889" w:rsidRDefault="00461546">
      <w:pPr>
        <w:spacing w:after="160" w:line="259" w:lineRule="auto"/>
        <w:ind w:left="1700"/>
        <w:rPr>
          <w:b/>
          <w:sz w:val="24"/>
          <w:szCs w:val="24"/>
          <w:lang w:val="es-MX"/>
        </w:rPr>
      </w:pPr>
    </w:p>
    <w:p w14:paraId="05BB7FD5" w14:textId="77777777" w:rsidR="00461546" w:rsidRPr="00FB0889" w:rsidRDefault="00FB0889">
      <w:pPr>
        <w:spacing w:after="160" w:line="259" w:lineRule="auto"/>
        <w:ind w:left="1700"/>
        <w:rPr>
          <w:color w:val="4472C4"/>
          <w:sz w:val="24"/>
          <w:szCs w:val="24"/>
          <w:lang w:val="es-MX"/>
        </w:rPr>
      </w:pPr>
      <w:r w:rsidRPr="00FB0889">
        <w:rPr>
          <w:b/>
          <w:sz w:val="24"/>
          <w:szCs w:val="24"/>
          <w:lang w:val="es-MX"/>
        </w:rPr>
        <w:t>IV. Anexos o apéndice</w:t>
      </w:r>
    </w:p>
    <w:p w14:paraId="0523BD4A" w14:textId="77777777" w:rsidR="00461546" w:rsidRPr="00FB0889" w:rsidRDefault="00461546">
      <w:pPr>
        <w:spacing w:after="160"/>
        <w:ind w:left="425"/>
        <w:rPr>
          <w:color w:val="4472C4"/>
          <w:sz w:val="24"/>
          <w:szCs w:val="24"/>
          <w:lang w:val="es-MX"/>
        </w:rPr>
      </w:pPr>
    </w:p>
    <w:p w14:paraId="4721681F" w14:textId="77777777" w:rsidR="00461546" w:rsidRPr="00FB0889" w:rsidRDefault="00461546">
      <w:pPr>
        <w:spacing w:after="160"/>
        <w:ind w:left="425"/>
        <w:rPr>
          <w:color w:val="4472C4"/>
          <w:sz w:val="24"/>
          <w:szCs w:val="24"/>
          <w:lang w:val="es-MX"/>
        </w:rPr>
      </w:pPr>
    </w:p>
    <w:p w14:paraId="67A4357E" w14:textId="7A3F4B8E" w:rsidR="00461546" w:rsidRPr="00FB0889" w:rsidRDefault="00461546">
      <w:pPr>
        <w:spacing w:after="160"/>
        <w:ind w:left="425"/>
        <w:rPr>
          <w:color w:val="4472C4"/>
          <w:sz w:val="24"/>
          <w:szCs w:val="24"/>
          <w:lang w:val="es-MX"/>
        </w:rPr>
      </w:pPr>
    </w:p>
    <w:p w14:paraId="69427EFE" w14:textId="370ED295" w:rsidR="00FB0889" w:rsidRPr="00FB0889" w:rsidRDefault="00FB0889">
      <w:pPr>
        <w:spacing w:after="160"/>
        <w:ind w:left="425"/>
        <w:rPr>
          <w:color w:val="4472C4"/>
          <w:sz w:val="24"/>
          <w:szCs w:val="24"/>
          <w:lang w:val="es-MX"/>
        </w:rPr>
      </w:pPr>
    </w:p>
    <w:p w14:paraId="4EB15EB7" w14:textId="77777777" w:rsidR="00FB0889" w:rsidRPr="00FB0889" w:rsidRDefault="00FB0889">
      <w:pPr>
        <w:spacing w:after="160"/>
        <w:ind w:left="425"/>
        <w:rPr>
          <w:color w:val="4472C4"/>
          <w:sz w:val="24"/>
          <w:szCs w:val="24"/>
          <w:lang w:val="es-MX"/>
        </w:rPr>
      </w:pPr>
    </w:p>
    <w:p w14:paraId="21A50083" w14:textId="77777777" w:rsidR="00461546" w:rsidRPr="00FB0889" w:rsidRDefault="00461546">
      <w:pPr>
        <w:spacing w:after="160"/>
        <w:ind w:left="425"/>
        <w:rPr>
          <w:color w:val="4472C4"/>
          <w:sz w:val="24"/>
          <w:szCs w:val="24"/>
          <w:lang w:val="es-MX"/>
        </w:rPr>
      </w:pPr>
    </w:p>
    <w:p w14:paraId="52115DFB" w14:textId="77777777" w:rsidR="00461546" w:rsidRPr="00FB0889" w:rsidRDefault="00461546">
      <w:pPr>
        <w:spacing w:after="160"/>
        <w:ind w:left="425"/>
        <w:rPr>
          <w:color w:val="4472C4"/>
          <w:sz w:val="24"/>
          <w:szCs w:val="24"/>
          <w:lang w:val="es-MX"/>
        </w:rPr>
      </w:pPr>
    </w:p>
    <w:p w14:paraId="7F4F4F74" w14:textId="77777777" w:rsidR="00461546" w:rsidRPr="00FB0889" w:rsidRDefault="00461546">
      <w:pPr>
        <w:spacing w:after="160"/>
        <w:ind w:left="425"/>
        <w:rPr>
          <w:color w:val="4472C4"/>
          <w:sz w:val="24"/>
          <w:szCs w:val="24"/>
          <w:lang w:val="es-MX"/>
        </w:rPr>
      </w:pPr>
    </w:p>
    <w:p w14:paraId="20A81D36" w14:textId="77777777" w:rsidR="00461546" w:rsidRPr="00FB0889" w:rsidRDefault="00461546">
      <w:pPr>
        <w:spacing w:after="160"/>
        <w:ind w:left="425"/>
        <w:rPr>
          <w:color w:val="4472C4"/>
          <w:sz w:val="24"/>
          <w:szCs w:val="24"/>
          <w:lang w:val="es-MX"/>
        </w:rPr>
      </w:pPr>
    </w:p>
    <w:p w14:paraId="6C75750F" w14:textId="77777777" w:rsidR="00461546" w:rsidRDefault="00FB0889">
      <w:pPr>
        <w:spacing w:after="160"/>
        <w:rPr>
          <w:b/>
          <w:sz w:val="24"/>
          <w:szCs w:val="24"/>
        </w:rPr>
      </w:pPr>
      <w:r>
        <w:rPr>
          <w:b/>
          <w:sz w:val="24"/>
          <w:szCs w:val="24"/>
        </w:rPr>
        <w:lastRenderedPageBreak/>
        <w:t>Índice de figuras y tablas</w:t>
      </w:r>
    </w:p>
    <w:p w14:paraId="7118B57C" w14:textId="77777777" w:rsidR="00461546" w:rsidRDefault="00461546">
      <w:pPr>
        <w:spacing w:after="160"/>
        <w:ind w:left="425"/>
        <w:rPr>
          <w:b/>
          <w:sz w:val="24"/>
          <w:szCs w:val="24"/>
        </w:rPr>
      </w:pPr>
    </w:p>
    <w:tbl>
      <w:tblPr>
        <w:tblStyle w:val="a"/>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461546" w14:paraId="70F57C4D"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5BF74BC2" w14:textId="77777777" w:rsidR="00461546" w:rsidRPr="00FB0889" w:rsidRDefault="00FB0889">
            <w:pPr>
              <w:widowControl w:val="0"/>
              <w:spacing w:line="240" w:lineRule="auto"/>
              <w:rPr>
                <w:sz w:val="24"/>
                <w:szCs w:val="24"/>
                <w:lang w:val="es-MX"/>
              </w:rPr>
            </w:pPr>
            <w:r w:rsidRPr="00FB0889">
              <w:rPr>
                <w:sz w:val="24"/>
                <w:szCs w:val="24"/>
                <w:lang w:val="es-MX"/>
              </w:rPr>
              <w:t>Tabla 1.  Modelo de diseño, desarrollo y validación de la Encuesta de percepción sobre el trabajo directivo y aportaciones al colectivo escolar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3922391A" w14:textId="77777777" w:rsidR="00461546" w:rsidRDefault="00FB0889">
            <w:pPr>
              <w:widowControl w:val="0"/>
              <w:spacing w:line="240" w:lineRule="auto"/>
              <w:jc w:val="right"/>
              <w:rPr>
                <w:sz w:val="24"/>
                <w:szCs w:val="24"/>
              </w:rPr>
            </w:pPr>
            <w:r>
              <w:rPr>
                <w:sz w:val="24"/>
                <w:szCs w:val="24"/>
              </w:rPr>
              <w:t>----------------  9</w:t>
            </w:r>
          </w:p>
        </w:tc>
      </w:tr>
    </w:tbl>
    <w:p w14:paraId="14AE785B" w14:textId="77777777" w:rsidR="00461546" w:rsidRDefault="00461546">
      <w:pPr>
        <w:spacing w:after="160"/>
        <w:ind w:left="425"/>
        <w:rPr>
          <w:b/>
          <w:sz w:val="24"/>
          <w:szCs w:val="24"/>
        </w:rPr>
      </w:pPr>
    </w:p>
    <w:p w14:paraId="044C0192" w14:textId="77777777" w:rsidR="00461546" w:rsidRDefault="00461546">
      <w:pPr>
        <w:spacing w:after="160"/>
        <w:ind w:left="425"/>
        <w:rPr>
          <w:b/>
          <w:sz w:val="24"/>
          <w:szCs w:val="24"/>
        </w:rPr>
      </w:pPr>
    </w:p>
    <w:p w14:paraId="72E4EE97" w14:textId="77777777" w:rsidR="00461546" w:rsidRDefault="00461546">
      <w:pPr>
        <w:spacing w:after="160"/>
        <w:ind w:left="425"/>
        <w:rPr>
          <w:b/>
          <w:sz w:val="24"/>
          <w:szCs w:val="24"/>
        </w:rPr>
      </w:pPr>
    </w:p>
    <w:p w14:paraId="53A20BAB" w14:textId="77777777" w:rsidR="00461546" w:rsidRDefault="00461546">
      <w:pPr>
        <w:spacing w:after="160"/>
        <w:ind w:left="425"/>
        <w:rPr>
          <w:b/>
          <w:sz w:val="24"/>
          <w:szCs w:val="24"/>
        </w:rPr>
      </w:pPr>
    </w:p>
    <w:p w14:paraId="0AA67FDB" w14:textId="77777777" w:rsidR="00461546" w:rsidRDefault="00461546">
      <w:pPr>
        <w:spacing w:after="160"/>
        <w:ind w:left="425"/>
        <w:rPr>
          <w:b/>
          <w:sz w:val="24"/>
          <w:szCs w:val="24"/>
        </w:rPr>
      </w:pPr>
    </w:p>
    <w:p w14:paraId="3083BB24" w14:textId="77777777" w:rsidR="00461546" w:rsidRDefault="00461546">
      <w:pPr>
        <w:spacing w:after="160"/>
        <w:ind w:left="425"/>
        <w:rPr>
          <w:b/>
          <w:sz w:val="24"/>
          <w:szCs w:val="24"/>
        </w:rPr>
      </w:pPr>
    </w:p>
    <w:p w14:paraId="48AF31F7" w14:textId="77777777" w:rsidR="00461546" w:rsidRDefault="00461546">
      <w:pPr>
        <w:spacing w:after="160"/>
        <w:ind w:left="425"/>
        <w:rPr>
          <w:b/>
          <w:sz w:val="24"/>
          <w:szCs w:val="24"/>
        </w:rPr>
      </w:pPr>
    </w:p>
    <w:p w14:paraId="041C9B10" w14:textId="77777777" w:rsidR="00461546" w:rsidRDefault="00461546">
      <w:pPr>
        <w:spacing w:after="160"/>
        <w:ind w:left="425"/>
        <w:rPr>
          <w:b/>
          <w:sz w:val="24"/>
          <w:szCs w:val="24"/>
        </w:rPr>
      </w:pPr>
    </w:p>
    <w:p w14:paraId="58756F7B" w14:textId="77777777" w:rsidR="00461546" w:rsidRDefault="00461546">
      <w:pPr>
        <w:spacing w:after="160"/>
        <w:ind w:left="425"/>
        <w:rPr>
          <w:b/>
          <w:sz w:val="24"/>
          <w:szCs w:val="24"/>
        </w:rPr>
      </w:pPr>
    </w:p>
    <w:p w14:paraId="2C42A424" w14:textId="77777777" w:rsidR="00461546" w:rsidRDefault="00461546">
      <w:pPr>
        <w:spacing w:after="160"/>
        <w:ind w:left="425"/>
        <w:rPr>
          <w:b/>
          <w:sz w:val="24"/>
          <w:szCs w:val="24"/>
        </w:rPr>
      </w:pPr>
    </w:p>
    <w:p w14:paraId="139FC67B" w14:textId="77777777" w:rsidR="00461546" w:rsidRDefault="00461546">
      <w:pPr>
        <w:spacing w:after="160"/>
        <w:ind w:left="425"/>
        <w:rPr>
          <w:b/>
          <w:sz w:val="24"/>
          <w:szCs w:val="24"/>
        </w:rPr>
      </w:pPr>
    </w:p>
    <w:p w14:paraId="738E2882" w14:textId="77777777" w:rsidR="00461546" w:rsidRDefault="00461546">
      <w:pPr>
        <w:spacing w:after="160"/>
        <w:ind w:left="425"/>
        <w:rPr>
          <w:b/>
          <w:sz w:val="24"/>
          <w:szCs w:val="24"/>
        </w:rPr>
      </w:pPr>
    </w:p>
    <w:p w14:paraId="2FB4FC89" w14:textId="77777777" w:rsidR="00461546" w:rsidRDefault="00461546">
      <w:pPr>
        <w:spacing w:after="160"/>
        <w:ind w:left="425"/>
        <w:rPr>
          <w:b/>
          <w:sz w:val="24"/>
          <w:szCs w:val="24"/>
        </w:rPr>
      </w:pPr>
    </w:p>
    <w:p w14:paraId="4D48F09B" w14:textId="77777777" w:rsidR="00461546" w:rsidRDefault="00461546">
      <w:pPr>
        <w:spacing w:after="160"/>
        <w:ind w:left="425"/>
        <w:rPr>
          <w:b/>
          <w:sz w:val="24"/>
          <w:szCs w:val="24"/>
        </w:rPr>
      </w:pPr>
    </w:p>
    <w:p w14:paraId="0243462D" w14:textId="77777777" w:rsidR="00461546" w:rsidRDefault="00461546">
      <w:pPr>
        <w:spacing w:after="160"/>
        <w:ind w:left="425"/>
        <w:rPr>
          <w:b/>
          <w:sz w:val="24"/>
          <w:szCs w:val="24"/>
        </w:rPr>
      </w:pPr>
    </w:p>
    <w:p w14:paraId="69E7D3FC" w14:textId="77777777" w:rsidR="00461546" w:rsidRDefault="00461546">
      <w:pPr>
        <w:spacing w:after="160"/>
        <w:ind w:left="425"/>
        <w:rPr>
          <w:b/>
          <w:sz w:val="24"/>
          <w:szCs w:val="24"/>
        </w:rPr>
      </w:pPr>
    </w:p>
    <w:p w14:paraId="7DBC47C2" w14:textId="77777777" w:rsidR="00461546" w:rsidRDefault="00461546">
      <w:pPr>
        <w:spacing w:after="160"/>
        <w:ind w:left="425"/>
        <w:rPr>
          <w:b/>
          <w:sz w:val="24"/>
          <w:szCs w:val="24"/>
        </w:rPr>
      </w:pPr>
    </w:p>
    <w:p w14:paraId="3B19CCD2" w14:textId="77777777" w:rsidR="00461546" w:rsidRDefault="00461546">
      <w:pPr>
        <w:spacing w:after="160"/>
        <w:ind w:left="425"/>
        <w:rPr>
          <w:b/>
          <w:sz w:val="24"/>
          <w:szCs w:val="24"/>
        </w:rPr>
      </w:pPr>
    </w:p>
    <w:p w14:paraId="67D36B21" w14:textId="77777777" w:rsidR="00461546" w:rsidRDefault="00461546">
      <w:pPr>
        <w:spacing w:after="160"/>
        <w:ind w:left="425"/>
        <w:rPr>
          <w:b/>
          <w:sz w:val="24"/>
          <w:szCs w:val="24"/>
        </w:rPr>
      </w:pPr>
    </w:p>
    <w:p w14:paraId="34C1BED6" w14:textId="77777777" w:rsidR="00461546" w:rsidRDefault="00461546">
      <w:pPr>
        <w:spacing w:after="160"/>
        <w:ind w:left="425"/>
        <w:rPr>
          <w:b/>
          <w:sz w:val="24"/>
          <w:szCs w:val="24"/>
        </w:rPr>
      </w:pPr>
    </w:p>
    <w:p w14:paraId="07C2D629" w14:textId="77777777" w:rsidR="00461546" w:rsidRDefault="00461546">
      <w:pPr>
        <w:spacing w:after="160"/>
        <w:ind w:left="425"/>
        <w:rPr>
          <w:b/>
          <w:sz w:val="24"/>
          <w:szCs w:val="24"/>
        </w:rPr>
      </w:pPr>
    </w:p>
    <w:p w14:paraId="589EA222" w14:textId="77777777" w:rsidR="00461546" w:rsidRDefault="00461546">
      <w:pPr>
        <w:spacing w:after="160"/>
        <w:ind w:left="425"/>
        <w:rPr>
          <w:b/>
          <w:sz w:val="24"/>
          <w:szCs w:val="24"/>
        </w:rPr>
      </w:pPr>
    </w:p>
    <w:p w14:paraId="58BED7E1" w14:textId="77777777" w:rsidR="00461546" w:rsidRDefault="00FB0889">
      <w:pPr>
        <w:spacing w:after="160"/>
        <w:jc w:val="both"/>
        <w:rPr>
          <w:b/>
          <w:sz w:val="24"/>
          <w:szCs w:val="24"/>
        </w:rPr>
      </w:pPr>
      <w:r>
        <w:rPr>
          <w:b/>
          <w:sz w:val="24"/>
          <w:szCs w:val="24"/>
        </w:rPr>
        <w:lastRenderedPageBreak/>
        <w:t>Glosario, siglas y acrónimos</w:t>
      </w:r>
    </w:p>
    <w:p w14:paraId="2C6CB14D" w14:textId="77777777" w:rsidR="00461546" w:rsidRPr="00FB0889" w:rsidRDefault="00FB0889">
      <w:pPr>
        <w:spacing w:after="160"/>
        <w:ind w:left="283"/>
        <w:jc w:val="both"/>
        <w:rPr>
          <w:sz w:val="20"/>
          <w:szCs w:val="20"/>
          <w:lang w:val="es-MX"/>
        </w:rPr>
      </w:pPr>
      <w:r w:rsidRPr="00FB0889">
        <w:rPr>
          <w:b/>
          <w:sz w:val="20"/>
          <w:szCs w:val="20"/>
          <w:lang w:val="es-MX"/>
        </w:rPr>
        <w:t>Desarrollo.</w:t>
      </w:r>
      <w:r w:rsidRPr="00FB0889">
        <w:rPr>
          <w:sz w:val="20"/>
          <w:szCs w:val="20"/>
          <w:lang w:val="es-MX"/>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60DA934A" w14:textId="77777777" w:rsidR="00461546" w:rsidRPr="00FB0889" w:rsidRDefault="00FB0889">
      <w:pPr>
        <w:spacing w:after="160"/>
        <w:ind w:left="283"/>
        <w:jc w:val="both"/>
        <w:rPr>
          <w:sz w:val="20"/>
          <w:szCs w:val="20"/>
          <w:lang w:val="es-MX"/>
        </w:rPr>
      </w:pPr>
      <w:r w:rsidRPr="00FB0889">
        <w:rPr>
          <w:b/>
          <w:sz w:val="20"/>
          <w:szCs w:val="20"/>
          <w:lang w:val="es-MX"/>
        </w:rPr>
        <w:t xml:space="preserve">Diseño. </w:t>
      </w:r>
      <w:r w:rsidRPr="00FB0889">
        <w:rPr>
          <w:sz w:val="20"/>
          <w:szCs w:val="20"/>
          <w:lang w:val="es-MX"/>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3C516030" w14:textId="77777777" w:rsidR="00461546" w:rsidRPr="00FB0889" w:rsidRDefault="00FB0889">
      <w:pPr>
        <w:spacing w:after="160"/>
        <w:ind w:left="283"/>
        <w:jc w:val="both"/>
        <w:rPr>
          <w:sz w:val="20"/>
          <w:szCs w:val="20"/>
          <w:lang w:val="es-MX"/>
        </w:rPr>
      </w:pPr>
      <w:r w:rsidRPr="00FB0889">
        <w:rPr>
          <w:b/>
          <w:sz w:val="20"/>
          <w:szCs w:val="20"/>
          <w:lang w:val="es-MX"/>
        </w:rPr>
        <w:t>Estructura factorial</w:t>
      </w:r>
      <w:r w:rsidRPr="00FB0889">
        <w:rPr>
          <w:sz w:val="20"/>
          <w:szCs w:val="20"/>
          <w:lang w:val="es-MX"/>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18E3F745" w14:textId="77777777" w:rsidR="00461546" w:rsidRPr="00FB0889" w:rsidRDefault="00FB0889">
      <w:pPr>
        <w:spacing w:after="160"/>
        <w:ind w:left="283" w:right="138"/>
        <w:jc w:val="both"/>
        <w:rPr>
          <w:sz w:val="20"/>
          <w:szCs w:val="20"/>
          <w:lang w:val="es-MX"/>
        </w:rPr>
      </w:pPr>
      <w:r w:rsidRPr="00FB0889">
        <w:rPr>
          <w:b/>
          <w:sz w:val="20"/>
          <w:szCs w:val="20"/>
          <w:lang w:val="es-MX"/>
        </w:rPr>
        <w:t>Instrumentos de apreciación</w:t>
      </w:r>
      <w:r w:rsidRPr="00FB0889">
        <w:rPr>
          <w:sz w:val="20"/>
          <w:szCs w:val="20"/>
          <w:lang w:val="es-MX"/>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7C91BFC5" w14:textId="77777777" w:rsidR="00461546" w:rsidRPr="00FB0889" w:rsidRDefault="00FB0889">
      <w:pPr>
        <w:spacing w:after="160"/>
        <w:ind w:left="283" w:right="138"/>
        <w:jc w:val="both"/>
        <w:rPr>
          <w:sz w:val="20"/>
          <w:szCs w:val="20"/>
          <w:lang w:val="es-MX"/>
        </w:rPr>
      </w:pPr>
      <w:r w:rsidRPr="00FB0889">
        <w:rPr>
          <w:b/>
          <w:sz w:val="20"/>
          <w:szCs w:val="20"/>
          <w:lang w:val="es-MX"/>
        </w:rPr>
        <w:t>Ley General del Sistema de Carrera para las Maestras y los Maestros (LGSCMM)</w:t>
      </w:r>
      <w:r w:rsidRPr="00FB0889">
        <w:rPr>
          <w:sz w:val="20"/>
          <w:szCs w:val="20"/>
          <w:lang w:val="es-MX"/>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7E76E11F" w14:textId="77777777" w:rsidR="00461546" w:rsidRPr="00FB0889" w:rsidRDefault="00FB0889">
      <w:pPr>
        <w:spacing w:after="160"/>
        <w:ind w:left="283"/>
        <w:jc w:val="both"/>
        <w:rPr>
          <w:sz w:val="20"/>
          <w:szCs w:val="20"/>
          <w:lang w:val="es-MX"/>
        </w:rPr>
      </w:pPr>
      <w:r w:rsidRPr="00FB0889">
        <w:rPr>
          <w:b/>
          <w:sz w:val="20"/>
          <w:szCs w:val="20"/>
          <w:lang w:val="es-MX"/>
        </w:rPr>
        <w:t xml:space="preserve">Modelo sustantivo. </w:t>
      </w:r>
      <w:r w:rsidRPr="00FB0889">
        <w:rPr>
          <w:sz w:val="20"/>
          <w:szCs w:val="20"/>
          <w:lang w:val="es-MX"/>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31A76C81" w14:textId="77777777" w:rsidR="00461546" w:rsidRPr="00FB0889" w:rsidRDefault="00FB0889">
      <w:pPr>
        <w:spacing w:after="160"/>
        <w:ind w:left="283"/>
        <w:jc w:val="both"/>
        <w:rPr>
          <w:sz w:val="20"/>
          <w:szCs w:val="20"/>
          <w:lang w:val="es-MX"/>
        </w:rPr>
      </w:pPr>
      <w:r w:rsidRPr="00FB0889">
        <w:rPr>
          <w:b/>
          <w:sz w:val="20"/>
          <w:szCs w:val="20"/>
          <w:lang w:val="es-MX"/>
        </w:rPr>
        <w:t xml:space="preserve">Marco metodológico. </w:t>
      </w:r>
      <w:r w:rsidRPr="00FB0889">
        <w:rPr>
          <w:sz w:val="20"/>
          <w:szCs w:val="20"/>
          <w:lang w:val="es-MX"/>
        </w:rPr>
        <w:t>En el caso particular de los instrumentos de apreciación del SISAP se tienen considerados tres grandes marcos metodológicos: los Modelos de Diagnóstico Cognitivo, la Teoría de Respuesta al Ítem y el Aprendizaje Profundo en Redes Neuronales.</w:t>
      </w:r>
    </w:p>
    <w:p w14:paraId="7EFA6FA5" w14:textId="77777777" w:rsidR="00461546" w:rsidRPr="00FB0889" w:rsidRDefault="00FB0889">
      <w:pPr>
        <w:spacing w:after="160"/>
        <w:ind w:left="283" w:right="138"/>
        <w:jc w:val="both"/>
        <w:rPr>
          <w:sz w:val="20"/>
          <w:szCs w:val="20"/>
          <w:lang w:val="es-MX"/>
        </w:rPr>
      </w:pPr>
      <w:r w:rsidRPr="00FB0889">
        <w:rPr>
          <w:b/>
          <w:sz w:val="20"/>
          <w:szCs w:val="20"/>
          <w:lang w:val="es-MX"/>
        </w:rPr>
        <w:t>Perfiles, Criterios e Indicadores.</w:t>
      </w:r>
      <w:r w:rsidRPr="00FB0889">
        <w:rPr>
          <w:sz w:val="20"/>
          <w:szCs w:val="20"/>
          <w:lang w:val="es-MX"/>
        </w:rPr>
        <w:t xml:space="preserve"> Documento elaborado por la Secretaría de Educación Pública para describir las características deseables en la figura docente, técnico docente, asesor técnico pedagógico, con funciones directivas o de supervisión.</w:t>
      </w:r>
    </w:p>
    <w:p w14:paraId="689A0486" w14:textId="77777777" w:rsidR="00461546" w:rsidRPr="00FB0889" w:rsidRDefault="00FB0889">
      <w:pPr>
        <w:spacing w:after="160"/>
        <w:ind w:left="283"/>
        <w:jc w:val="both"/>
        <w:rPr>
          <w:sz w:val="20"/>
          <w:szCs w:val="20"/>
          <w:lang w:val="es-MX"/>
        </w:rPr>
      </w:pPr>
      <w:r w:rsidRPr="00FB0889">
        <w:rPr>
          <w:b/>
          <w:sz w:val="20"/>
          <w:szCs w:val="20"/>
          <w:lang w:val="es-MX"/>
        </w:rPr>
        <w:t>Piloteo.</w:t>
      </w:r>
      <w:r w:rsidRPr="00FB0889">
        <w:rPr>
          <w:sz w:val="20"/>
          <w:szCs w:val="20"/>
          <w:lang w:val="es-MX"/>
        </w:rPr>
        <w:t xml:space="preserve"> Aplicación del instrumento en desarrollo a una muestra de individuos que tienen las mismas características que la población objetivo</w:t>
      </w:r>
    </w:p>
    <w:p w14:paraId="77AC84FC" w14:textId="77777777" w:rsidR="00461546" w:rsidRPr="00FB0889" w:rsidRDefault="00FB0889">
      <w:pPr>
        <w:spacing w:after="160"/>
        <w:ind w:left="283" w:right="138"/>
        <w:jc w:val="both"/>
        <w:rPr>
          <w:sz w:val="20"/>
          <w:szCs w:val="20"/>
          <w:lang w:val="es-MX"/>
        </w:rPr>
      </w:pPr>
      <w:r w:rsidRPr="00FB0889">
        <w:rPr>
          <w:b/>
          <w:sz w:val="20"/>
          <w:szCs w:val="20"/>
          <w:lang w:val="es-MX"/>
        </w:rPr>
        <w:t xml:space="preserve">Procesos de Selección. </w:t>
      </w:r>
      <w:r w:rsidRPr="00FB0889">
        <w:rPr>
          <w:sz w:val="20"/>
          <w:szCs w:val="20"/>
          <w:lang w:val="es-MX"/>
        </w:rPr>
        <w:t>Se refiere a los procesos en los que participan los aspirantes a ingresar, ser reconocidos o ser promovidos en el Sistema de Carrera de las Maestras y los Maestros.</w:t>
      </w:r>
    </w:p>
    <w:p w14:paraId="30769E80" w14:textId="77777777" w:rsidR="00461546" w:rsidRPr="00FB0889" w:rsidRDefault="00FB0889">
      <w:pPr>
        <w:spacing w:after="160"/>
        <w:ind w:left="283" w:right="138"/>
        <w:jc w:val="both"/>
        <w:rPr>
          <w:sz w:val="20"/>
          <w:szCs w:val="20"/>
          <w:lang w:val="es-MX"/>
        </w:rPr>
      </w:pPr>
      <w:r w:rsidRPr="00FB0889">
        <w:rPr>
          <w:b/>
          <w:sz w:val="20"/>
          <w:szCs w:val="20"/>
          <w:lang w:val="es-MX"/>
        </w:rPr>
        <w:t xml:space="preserve">Sistema de Apreciación (SISAP). </w:t>
      </w:r>
      <w:r w:rsidRPr="00FB0889">
        <w:rPr>
          <w:sz w:val="20"/>
          <w:szCs w:val="20"/>
          <w:lang w:val="es-MX"/>
        </w:rPr>
        <w:t>Refiere al cuerpo de instrumentos de apreciación que son utilizados en los distintos procesos de selección para aportar información sobre el ordenamiento de las listas de prelación.</w:t>
      </w:r>
    </w:p>
    <w:p w14:paraId="51AB5E27" w14:textId="77777777" w:rsidR="00461546" w:rsidRPr="00FB0889" w:rsidRDefault="00FB0889">
      <w:pPr>
        <w:spacing w:after="160"/>
        <w:ind w:left="283" w:right="138"/>
        <w:jc w:val="both"/>
        <w:rPr>
          <w:sz w:val="20"/>
          <w:szCs w:val="20"/>
          <w:lang w:val="es-MX"/>
        </w:rPr>
      </w:pPr>
      <w:r w:rsidRPr="00FB0889">
        <w:rPr>
          <w:b/>
          <w:sz w:val="20"/>
          <w:szCs w:val="20"/>
          <w:lang w:val="es-MX"/>
        </w:rPr>
        <w:lastRenderedPageBreak/>
        <w:t xml:space="preserve">Sistema para la Carrera de las Maestras y los Maestros (SCMM). </w:t>
      </w:r>
      <w:r w:rsidRPr="00FB0889">
        <w:rPr>
          <w:sz w:val="20"/>
          <w:szCs w:val="20"/>
          <w:lang w:val="es-MX"/>
        </w:rPr>
        <w:t>Instrumento del Estado para que el personal docente, técnico docente, asesor técnico pedagógico, con funciones directivas y de supervisión acceda a una carrera justa y equitativa.</w:t>
      </w:r>
    </w:p>
    <w:p w14:paraId="3647ED36" w14:textId="77777777" w:rsidR="00461546" w:rsidRPr="00FB0889" w:rsidRDefault="00FB0889">
      <w:pPr>
        <w:spacing w:after="160"/>
        <w:ind w:left="283" w:right="138"/>
        <w:jc w:val="both"/>
        <w:rPr>
          <w:sz w:val="20"/>
          <w:szCs w:val="20"/>
          <w:lang w:val="es-MX"/>
        </w:rPr>
      </w:pPr>
      <w:r w:rsidRPr="00FB0889">
        <w:rPr>
          <w:b/>
          <w:sz w:val="20"/>
          <w:szCs w:val="20"/>
          <w:lang w:val="es-MX"/>
        </w:rPr>
        <w:t xml:space="preserve">Unidad del Sistema de Carrera de las Maestras y los Maestros (USICAMM). </w:t>
      </w:r>
      <w:r w:rsidRPr="00FB0889">
        <w:rPr>
          <w:sz w:val="20"/>
          <w:szCs w:val="20"/>
          <w:lang w:val="es-MX"/>
        </w:rPr>
        <w:t>Es un organismo administrativo desconcentrado con autonomía técnica, operativa y de gestión adscrito a la SEP, que tiene a su cargo las atribuciones le confiere la LGSCMM.</w:t>
      </w:r>
    </w:p>
    <w:p w14:paraId="006411CE" w14:textId="77777777" w:rsidR="00461546" w:rsidRPr="00FB0889" w:rsidRDefault="00FB0889">
      <w:pPr>
        <w:spacing w:after="160"/>
        <w:ind w:left="283"/>
        <w:jc w:val="both"/>
        <w:rPr>
          <w:b/>
          <w:sz w:val="20"/>
          <w:szCs w:val="20"/>
          <w:highlight w:val="yellow"/>
          <w:lang w:val="es-MX"/>
        </w:rPr>
      </w:pPr>
      <w:r w:rsidRPr="00FB0889">
        <w:rPr>
          <w:b/>
          <w:sz w:val="20"/>
          <w:szCs w:val="20"/>
          <w:lang w:val="es-MX"/>
        </w:rPr>
        <w:t xml:space="preserve">Validez. </w:t>
      </w:r>
      <w:r w:rsidRPr="00FB0889">
        <w:rPr>
          <w:sz w:val="20"/>
          <w:szCs w:val="20"/>
          <w:lang w:val="es-MX"/>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1A0BAF81" w14:textId="77777777" w:rsidR="00461546" w:rsidRPr="00FB0889" w:rsidRDefault="00461546">
      <w:pPr>
        <w:spacing w:after="160"/>
        <w:ind w:left="283"/>
        <w:jc w:val="both"/>
        <w:rPr>
          <w:b/>
          <w:sz w:val="24"/>
          <w:szCs w:val="24"/>
          <w:lang w:val="es-MX"/>
        </w:rPr>
      </w:pPr>
    </w:p>
    <w:p w14:paraId="4D58AD06" w14:textId="77777777" w:rsidR="00461546" w:rsidRPr="00FB0889" w:rsidRDefault="00461546">
      <w:pPr>
        <w:spacing w:after="160"/>
        <w:ind w:left="283"/>
        <w:jc w:val="both"/>
        <w:rPr>
          <w:b/>
          <w:sz w:val="20"/>
          <w:szCs w:val="20"/>
          <w:highlight w:val="yellow"/>
          <w:lang w:val="es-MX"/>
        </w:rPr>
      </w:pPr>
    </w:p>
    <w:p w14:paraId="5DF29A1F" w14:textId="77777777" w:rsidR="00461546" w:rsidRPr="00FB0889" w:rsidRDefault="00461546">
      <w:pPr>
        <w:spacing w:after="160"/>
        <w:ind w:left="425"/>
        <w:jc w:val="both"/>
        <w:rPr>
          <w:b/>
          <w:sz w:val="24"/>
          <w:szCs w:val="24"/>
          <w:lang w:val="es-MX"/>
        </w:rPr>
      </w:pPr>
    </w:p>
    <w:p w14:paraId="3F0F8C9A" w14:textId="77777777" w:rsidR="00461546" w:rsidRPr="00FB0889" w:rsidRDefault="00461546">
      <w:pPr>
        <w:spacing w:after="160"/>
        <w:ind w:left="425"/>
        <w:jc w:val="both"/>
        <w:rPr>
          <w:b/>
          <w:sz w:val="24"/>
          <w:szCs w:val="24"/>
          <w:lang w:val="es-MX"/>
        </w:rPr>
      </w:pPr>
    </w:p>
    <w:p w14:paraId="5291B4A7" w14:textId="77777777" w:rsidR="00461546" w:rsidRPr="00FB0889" w:rsidRDefault="00461546">
      <w:pPr>
        <w:spacing w:after="160"/>
        <w:ind w:left="425"/>
        <w:jc w:val="both"/>
        <w:rPr>
          <w:b/>
          <w:sz w:val="24"/>
          <w:szCs w:val="24"/>
          <w:lang w:val="es-MX"/>
        </w:rPr>
      </w:pPr>
    </w:p>
    <w:p w14:paraId="3ACC5A29" w14:textId="77777777" w:rsidR="00461546" w:rsidRPr="00FB0889" w:rsidRDefault="00461546">
      <w:pPr>
        <w:spacing w:after="160"/>
        <w:ind w:left="425"/>
        <w:jc w:val="both"/>
        <w:rPr>
          <w:b/>
          <w:sz w:val="24"/>
          <w:szCs w:val="24"/>
          <w:lang w:val="es-MX"/>
        </w:rPr>
      </w:pPr>
    </w:p>
    <w:p w14:paraId="4CABBB86" w14:textId="77777777" w:rsidR="00461546" w:rsidRPr="00FB0889" w:rsidRDefault="00461546">
      <w:pPr>
        <w:spacing w:after="160"/>
        <w:ind w:left="425"/>
        <w:jc w:val="both"/>
        <w:rPr>
          <w:b/>
          <w:sz w:val="24"/>
          <w:szCs w:val="24"/>
          <w:lang w:val="es-MX"/>
        </w:rPr>
      </w:pPr>
    </w:p>
    <w:p w14:paraId="7345DB58" w14:textId="058B825A" w:rsidR="00461546" w:rsidRPr="00FB0889" w:rsidRDefault="00461546">
      <w:pPr>
        <w:spacing w:after="160"/>
        <w:ind w:left="425"/>
        <w:jc w:val="both"/>
        <w:rPr>
          <w:b/>
          <w:sz w:val="24"/>
          <w:szCs w:val="24"/>
          <w:lang w:val="es-MX"/>
        </w:rPr>
      </w:pPr>
    </w:p>
    <w:p w14:paraId="54147170" w14:textId="2F50BF1D" w:rsidR="00FB0889" w:rsidRPr="00FB0889" w:rsidRDefault="00FB0889">
      <w:pPr>
        <w:spacing w:after="160"/>
        <w:ind w:left="425"/>
        <w:jc w:val="both"/>
        <w:rPr>
          <w:b/>
          <w:sz w:val="24"/>
          <w:szCs w:val="24"/>
          <w:lang w:val="es-MX"/>
        </w:rPr>
      </w:pPr>
    </w:p>
    <w:p w14:paraId="47C084D1" w14:textId="3FB41221" w:rsidR="00FB0889" w:rsidRPr="00FB0889" w:rsidRDefault="00FB0889">
      <w:pPr>
        <w:spacing w:after="160"/>
        <w:ind w:left="425"/>
        <w:jc w:val="both"/>
        <w:rPr>
          <w:b/>
          <w:sz w:val="24"/>
          <w:szCs w:val="24"/>
          <w:lang w:val="es-MX"/>
        </w:rPr>
      </w:pPr>
    </w:p>
    <w:p w14:paraId="7A284B69" w14:textId="76E1E9A9" w:rsidR="00FB0889" w:rsidRPr="00FB0889" w:rsidRDefault="00FB0889">
      <w:pPr>
        <w:spacing w:after="160"/>
        <w:ind w:left="425"/>
        <w:jc w:val="both"/>
        <w:rPr>
          <w:b/>
          <w:sz w:val="24"/>
          <w:szCs w:val="24"/>
          <w:lang w:val="es-MX"/>
        </w:rPr>
      </w:pPr>
    </w:p>
    <w:p w14:paraId="53CDF599" w14:textId="77777777" w:rsidR="00FB0889" w:rsidRPr="00FB0889" w:rsidRDefault="00FB0889">
      <w:pPr>
        <w:spacing w:after="160"/>
        <w:ind w:left="425"/>
        <w:jc w:val="both"/>
        <w:rPr>
          <w:b/>
          <w:sz w:val="24"/>
          <w:szCs w:val="24"/>
          <w:lang w:val="es-MX"/>
        </w:rPr>
      </w:pPr>
    </w:p>
    <w:p w14:paraId="59FCACBD" w14:textId="77777777" w:rsidR="00461546" w:rsidRPr="00FB0889" w:rsidRDefault="00461546">
      <w:pPr>
        <w:spacing w:after="160"/>
        <w:ind w:left="425"/>
        <w:jc w:val="both"/>
        <w:rPr>
          <w:b/>
          <w:sz w:val="24"/>
          <w:szCs w:val="24"/>
          <w:lang w:val="es-MX"/>
        </w:rPr>
      </w:pPr>
    </w:p>
    <w:p w14:paraId="4D7BAC8B" w14:textId="77777777" w:rsidR="00461546" w:rsidRPr="00FB0889" w:rsidRDefault="00461546">
      <w:pPr>
        <w:spacing w:after="160"/>
        <w:ind w:left="425"/>
        <w:jc w:val="both"/>
        <w:rPr>
          <w:b/>
          <w:sz w:val="24"/>
          <w:szCs w:val="24"/>
          <w:lang w:val="es-MX"/>
        </w:rPr>
      </w:pPr>
    </w:p>
    <w:p w14:paraId="1C974131" w14:textId="77777777" w:rsidR="00461546" w:rsidRPr="00FB0889" w:rsidRDefault="00461546">
      <w:pPr>
        <w:spacing w:after="160"/>
        <w:ind w:left="425"/>
        <w:jc w:val="both"/>
        <w:rPr>
          <w:b/>
          <w:sz w:val="24"/>
          <w:szCs w:val="24"/>
          <w:lang w:val="es-MX"/>
        </w:rPr>
      </w:pPr>
    </w:p>
    <w:p w14:paraId="71ACAF78" w14:textId="77777777" w:rsidR="00461546" w:rsidRPr="00FB0889" w:rsidRDefault="00461546">
      <w:pPr>
        <w:spacing w:after="160"/>
        <w:ind w:left="425"/>
        <w:jc w:val="both"/>
        <w:rPr>
          <w:b/>
          <w:sz w:val="24"/>
          <w:szCs w:val="24"/>
          <w:lang w:val="es-MX"/>
        </w:rPr>
      </w:pPr>
    </w:p>
    <w:p w14:paraId="08D4710E" w14:textId="77777777" w:rsidR="00461546" w:rsidRPr="00FB0889" w:rsidRDefault="00461546">
      <w:pPr>
        <w:spacing w:after="160"/>
        <w:ind w:left="425"/>
        <w:jc w:val="both"/>
        <w:rPr>
          <w:b/>
          <w:sz w:val="24"/>
          <w:szCs w:val="24"/>
          <w:lang w:val="es-MX"/>
        </w:rPr>
      </w:pPr>
    </w:p>
    <w:p w14:paraId="5901CD46" w14:textId="77777777" w:rsidR="00461546" w:rsidRPr="00FB0889" w:rsidRDefault="00461546">
      <w:pPr>
        <w:spacing w:after="160"/>
        <w:ind w:left="425"/>
        <w:jc w:val="both"/>
        <w:rPr>
          <w:b/>
          <w:sz w:val="24"/>
          <w:szCs w:val="24"/>
          <w:lang w:val="es-MX"/>
        </w:rPr>
      </w:pPr>
    </w:p>
    <w:p w14:paraId="352CD032" w14:textId="77777777" w:rsidR="00461546" w:rsidRPr="00FB0889" w:rsidRDefault="00461546">
      <w:pPr>
        <w:spacing w:after="160"/>
        <w:ind w:left="425"/>
        <w:jc w:val="both"/>
        <w:rPr>
          <w:b/>
          <w:sz w:val="24"/>
          <w:szCs w:val="24"/>
          <w:lang w:val="es-MX"/>
        </w:rPr>
      </w:pPr>
    </w:p>
    <w:p w14:paraId="133BD8DF" w14:textId="77777777" w:rsidR="00461546" w:rsidRPr="00FB0889" w:rsidRDefault="00461546">
      <w:pPr>
        <w:spacing w:after="160"/>
        <w:ind w:left="425"/>
        <w:jc w:val="both"/>
        <w:rPr>
          <w:b/>
          <w:sz w:val="24"/>
          <w:szCs w:val="24"/>
          <w:lang w:val="es-MX"/>
        </w:rPr>
      </w:pPr>
    </w:p>
    <w:p w14:paraId="79FB9A28" w14:textId="77777777" w:rsidR="00461546" w:rsidRPr="00FB0889" w:rsidRDefault="00461546">
      <w:pPr>
        <w:spacing w:after="160"/>
        <w:ind w:left="425"/>
        <w:jc w:val="both"/>
        <w:rPr>
          <w:b/>
          <w:sz w:val="24"/>
          <w:szCs w:val="24"/>
          <w:lang w:val="es-MX"/>
        </w:rPr>
      </w:pPr>
    </w:p>
    <w:p w14:paraId="4455E4BF" w14:textId="77777777" w:rsidR="00461546" w:rsidRPr="00FB0889" w:rsidRDefault="00FB0889">
      <w:pPr>
        <w:spacing w:after="160" w:line="360" w:lineRule="auto"/>
        <w:jc w:val="both"/>
        <w:rPr>
          <w:b/>
          <w:sz w:val="30"/>
          <w:szCs w:val="30"/>
          <w:lang w:val="es-MX"/>
        </w:rPr>
      </w:pPr>
      <w:r w:rsidRPr="00FB0889">
        <w:rPr>
          <w:b/>
          <w:sz w:val="30"/>
          <w:szCs w:val="30"/>
          <w:lang w:val="es-MX"/>
        </w:rPr>
        <w:lastRenderedPageBreak/>
        <w:t>I. Introducción</w:t>
      </w:r>
    </w:p>
    <w:p w14:paraId="2E3542BD" w14:textId="77777777" w:rsidR="00461546" w:rsidRPr="00FB0889" w:rsidRDefault="00FB0889">
      <w:pPr>
        <w:spacing w:after="160" w:line="360" w:lineRule="auto"/>
        <w:ind w:left="283"/>
        <w:jc w:val="both"/>
        <w:rPr>
          <w:sz w:val="24"/>
          <w:szCs w:val="24"/>
          <w:lang w:val="es-MX"/>
        </w:rPr>
      </w:pPr>
      <w:r w:rsidRPr="00FB0889">
        <w:rPr>
          <w:sz w:val="24"/>
          <w:szCs w:val="24"/>
          <w:lang w:val="es-MX"/>
        </w:rPr>
        <w:t xml:space="preserve">En el presente documento se expone el Plan de Diseño, Desarrollo y Validación de la Encuesta de percepción sobre el trabajo directivo y aportaciones al colectivo escolar, instrumento de apreciación aplicado como parte del proceso de selección para la promoción vertical dentro de la función de supervisor, con el objetivo particular de valorar la labor realizada en la escuela de manera cotidiana en interacción armónica y colaborativa entre los aspirantes y sus pares, los educandos y los madres, padres o tutores, a partir de la recopilación sistematizada de la percepción que estos actores tienen sobre el trabajo realizado por el aspirante y sus aportaciones al colectivo escolar para promover el aprendizaje de los alumnos. </w:t>
      </w:r>
    </w:p>
    <w:p w14:paraId="4C4E0DD9" w14:textId="77777777" w:rsidR="00461546" w:rsidRPr="00FB0889" w:rsidRDefault="00FB0889">
      <w:pPr>
        <w:spacing w:after="160" w:line="360" w:lineRule="auto"/>
        <w:ind w:left="283"/>
        <w:jc w:val="both"/>
        <w:rPr>
          <w:sz w:val="24"/>
          <w:szCs w:val="24"/>
          <w:lang w:val="es-MX"/>
        </w:rPr>
      </w:pPr>
      <w:r w:rsidRPr="00FB0889">
        <w:rPr>
          <w:sz w:val="24"/>
          <w:szCs w:val="24"/>
          <w:lang w:val="es-MX"/>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697618B8" w14:textId="77777777" w:rsidR="00461546" w:rsidRPr="00FB0889" w:rsidRDefault="00FB0889">
      <w:pPr>
        <w:spacing w:after="160" w:line="360" w:lineRule="auto"/>
        <w:ind w:left="283"/>
        <w:jc w:val="both"/>
        <w:rPr>
          <w:sz w:val="24"/>
          <w:szCs w:val="24"/>
          <w:lang w:val="es-MX"/>
        </w:rPr>
      </w:pPr>
      <w:r w:rsidRPr="00FB0889">
        <w:rPr>
          <w:sz w:val="24"/>
          <w:szCs w:val="24"/>
          <w:lang w:val="es-MX"/>
        </w:rPr>
        <w:t xml:space="preserve">La Encuesta de Percepción sobre el Trabajo Directivo y Aportaciones al Colectivo Escolar está pensado dentro del esquema del SISAP como una escala, por lo que su calibración, calificación, análisis e interpretación de resultados serán realizados bajo el marco metodológico planteado por la Teoría de Respuesta al Ítem, tal y como se detalla en el Plan de Análisis correspondiente. </w:t>
      </w:r>
    </w:p>
    <w:p w14:paraId="729F3158" w14:textId="77777777" w:rsidR="00461546" w:rsidRPr="00FB0889" w:rsidRDefault="00FB0889">
      <w:pPr>
        <w:spacing w:after="160" w:line="360" w:lineRule="auto"/>
        <w:ind w:left="283"/>
        <w:jc w:val="both"/>
        <w:rPr>
          <w:sz w:val="24"/>
          <w:szCs w:val="24"/>
          <w:lang w:val="es-MX"/>
        </w:rPr>
      </w:pPr>
      <w:r w:rsidRPr="00FB0889">
        <w:rPr>
          <w:sz w:val="24"/>
          <w:szCs w:val="24"/>
          <w:lang w:val="es-MX"/>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w:t>
      </w:r>
      <w:r w:rsidRPr="00FB0889">
        <w:rPr>
          <w:sz w:val="24"/>
          <w:szCs w:val="24"/>
          <w:lang w:val="es-MX"/>
        </w:rPr>
        <w:lastRenderedPageBreak/>
        <w:t>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construcción de la matriz de especificaciones y el desarrollo consecuente de los reactivos del instrumento y la descripción de las estrategias a seguir para garantizar la validez de la interpretación de las mediciones a obtener tras su aplicación, con un énfasis transversal en la recolección de evidencias de validez a lo largo del trabajo a desempeñar en cada fase.</w:t>
      </w:r>
    </w:p>
    <w:p w14:paraId="6034E963" w14:textId="77777777" w:rsidR="00461546" w:rsidRPr="00FB0889" w:rsidRDefault="00461546">
      <w:pPr>
        <w:spacing w:after="160" w:line="360" w:lineRule="auto"/>
        <w:jc w:val="both"/>
        <w:rPr>
          <w:sz w:val="24"/>
          <w:szCs w:val="24"/>
          <w:lang w:val="es-MX"/>
        </w:rPr>
      </w:pPr>
    </w:p>
    <w:p w14:paraId="68EA74DF" w14:textId="77777777" w:rsidR="00461546" w:rsidRPr="00FB0889" w:rsidRDefault="00461546">
      <w:pPr>
        <w:spacing w:after="160" w:line="360" w:lineRule="auto"/>
        <w:jc w:val="both"/>
        <w:rPr>
          <w:sz w:val="24"/>
          <w:szCs w:val="24"/>
          <w:lang w:val="es-MX"/>
        </w:rPr>
      </w:pPr>
    </w:p>
    <w:p w14:paraId="05927D29" w14:textId="1F53DC81" w:rsidR="00461546" w:rsidRPr="00FB0889" w:rsidRDefault="00461546">
      <w:pPr>
        <w:spacing w:after="160" w:line="360" w:lineRule="auto"/>
        <w:jc w:val="both"/>
        <w:rPr>
          <w:sz w:val="24"/>
          <w:szCs w:val="24"/>
          <w:lang w:val="es-MX"/>
        </w:rPr>
      </w:pPr>
    </w:p>
    <w:p w14:paraId="6F3F063F" w14:textId="5FDF805E" w:rsidR="00FB0889" w:rsidRPr="00FB0889" w:rsidRDefault="00FB0889">
      <w:pPr>
        <w:spacing w:after="160" w:line="360" w:lineRule="auto"/>
        <w:jc w:val="both"/>
        <w:rPr>
          <w:sz w:val="24"/>
          <w:szCs w:val="24"/>
          <w:lang w:val="es-MX"/>
        </w:rPr>
      </w:pPr>
    </w:p>
    <w:p w14:paraId="1C4C7C21" w14:textId="77777777" w:rsidR="00FB0889" w:rsidRPr="00FB0889" w:rsidRDefault="00FB0889">
      <w:pPr>
        <w:spacing w:after="160" w:line="360" w:lineRule="auto"/>
        <w:jc w:val="both"/>
        <w:rPr>
          <w:sz w:val="24"/>
          <w:szCs w:val="24"/>
          <w:lang w:val="es-MX"/>
        </w:rPr>
      </w:pPr>
    </w:p>
    <w:p w14:paraId="5FD841D1" w14:textId="77777777" w:rsidR="00461546" w:rsidRPr="00FB0889" w:rsidRDefault="00461546">
      <w:pPr>
        <w:spacing w:after="160" w:line="360" w:lineRule="auto"/>
        <w:jc w:val="both"/>
        <w:rPr>
          <w:sz w:val="24"/>
          <w:szCs w:val="24"/>
          <w:lang w:val="es-MX"/>
        </w:rPr>
      </w:pPr>
    </w:p>
    <w:p w14:paraId="0661EA69" w14:textId="77777777" w:rsidR="00461546" w:rsidRPr="00FB0889" w:rsidRDefault="00461546">
      <w:pPr>
        <w:spacing w:after="160" w:line="360" w:lineRule="auto"/>
        <w:jc w:val="both"/>
        <w:rPr>
          <w:sz w:val="24"/>
          <w:szCs w:val="24"/>
          <w:lang w:val="es-MX"/>
        </w:rPr>
      </w:pPr>
    </w:p>
    <w:p w14:paraId="756A7ECE" w14:textId="77777777" w:rsidR="00461546" w:rsidRPr="00FB0889" w:rsidRDefault="00461546">
      <w:pPr>
        <w:spacing w:after="160" w:line="360" w:lineRule="auto"/>
        <w:jc w:val="both"/>
        <w:rPr>
          <w:sz w:val="24"/>
          <w:szCs w:val="24"/>
          <w:lang w:val="es-MX"/>
        </w:rPr>
      </w:pPr>
    </w:p>
    <w:p w14:paraId="118F9BAD" w14:textId="77777777" w:rsidR="00461546" w:rsidRPr="00FB0889" w:rsidRDefault="00461546">
      <w:pPr>
        <w:spacing w:after="160" w:line="360" w:lineRule="auto"/>
        <w:jc w:val="both"/>
        <w:rPr>
          <w:sz w:val="24"/>
          <w:szCs w:val="24"/>
          <w:lang w:val="es-MX"/>
        </w:rPr>
      </w:pPr>
    </w:p>
    <w:p w14:paraId="4D53F29F" w14:textId="77777777" w:rsidR="00461546" w:rsidRPr="00FB0889" w:rsidRDefault="00461546">
      <w:pPr>
        <w:spacing w:after="160" w:line="360" w:lineRule="auto"/>
        <w:jc w:val="both"/>
        <w:rPr>
          <w:sz w:val="24"/>
          <w:szCs w:val="24"/>
          <w:lang w:val="es-MX"/>
        </w:rPr>
      </w:pPr>
    </w:p>
    <w:p w14:paraId="288F8F23" w14:textId="77777777" w:rsidR="00461546" w:rsidRPr="00FB0889" w:rsidRDefault="00461546">
      <w:pPr>
        <w:spacing w:after="160" w:line="360" w:lineRule="auto"/>
        <w:jc w:val="both"/>
        <w:rPr>
          <w:sz w:val="24"/>
          <w:szCs w:val="24"/>
          <w:lang w:val="es-MX"/>
        </w:rPr>
      </w:pPr>
    </w:p>
    <w:p w14:paraId="2672EF3C" w14:textId="77777777" w:rsidR="00461546" w:rsidRPr="00FB0889" w:rsidRDefault="00461546">
      <w:pPr>
        <w:spacing w:after="160" w:line="360" w:lineRule="auto"/>
        <w:jc w:val="both"/>
        <w:rPr>
          <w:sz w:val="24"/>
          <w:szCs w:val="24"/>
          <w:lang w:val="es-MX"/>
        </w:rPr>
      </w:pPr>
    </w:p>
    <w:p w14:paraId="22508925" w14:textId="77777777" w:rsidR="00461546" w:rsidRPr="00FB0889" w:rsidRDefault="00461546">
      <w:pPr>
        <w:spacing w:after="160" w:line="360" w:lineRule="auto"/>
        <w:jc w:val="both"/>
        <w:rPr>
          <w:sz w:val="24"/>
          <w:szCs w:val="24"/>
          <w:lang w:val="es-MX"/>
        </w:rPr>
      </w:pPr>
    </w:p>
    <w:p w14:paraId="06AA1AB3" w14:textId="77777777" w:rsidR="00461546" w:rsidRPr="00FB0889" w:rsidRDefault="00461546">
      <w:pPr>
        <w:spacing w:after="160" w:line="360" w:lineRule="auto"/>
        <w:jc w:val="both"/>
        <w:rPr>
          <w:sz w:val="24"/>
          <w:szCs w:val="24"/>
          <w:lang w:val="es-MX"/>
        </w:rPr>
      </w:pPr>
    </w:p>
    <w:p w14:paraId="46CEF8BA" w14:textId="77777777" w:rsidR="00461546" w:rsidRPr="00FB0889" w:rsidRDefault="00461546">
      <w:pPr>
        <w:spacing w:after="160" w:line="360" w:lineRule="auto"/>
        <w:jc w:val="both"/>
        <w:rPr>
          <w:sz w:val="24"/>
          <w:szCs w:val="24"/>
          <w:lang w:val="es-MX"/>
        </w:rPr>
      </w:pPr>
    </w:p>
    <w:p w14:paraId="0D28DE27" w14:textId="77777777" w:rsidR="00461546" w:rsidRPr="00FB0889" w:rsidRDefault="00461546">
      <w:pPr>
        <w:spacing w:after="160" w:line="360" w:lineRule="auto"/>
        <w:jc w:val="both"/>
        <w:rPr>
          <w:sz w:val="24"/>
          <w:szCs w:val="24"/>
          <w:lang w:val="es-MX"/>
        </w:rPr>
      </w:pPr>
    </w:p>
    <w:p w14:paraId="73DF24D4" w14:textId="77777777" w:rsidR="00461546" w:rsidRPr="00FB0889" w:rsidRDefault="00FB0889">
      <w:pPr>
        <w:spacing w:after="160" w:line="360" w:lineRule="auto"/>
        <w:jc w:val="both"/>
        <w:rPr>
          <w:b/>
          <w:sz w:val="30"/>
          <w:szCs w:val="30"/>
          <w:lang w:val="es-MX"/>
        </w:rPr>
      </w:pPr>
      <w:r w:rsidRPr="00FB0889">
        <w:rPr>
          <w:b/>
          <w:sz w:val="30"/>
          <w:szCs w:val="30"/>
          <w:lang w:val="es-MX"/>
        </w:rPr>
        <w:lastRenderedPageBreak/>
        <w:t>II. Marco Metodológico</w:t>
      </w:r>
    </w:p>
    <w:p w14:paraId="5294CEBA" w14:textId="77777777" w:rsidR="00461546" w:rsidRPr="00FB0889" w:rsidRDefault="00FB0889">
      <w:pPr>
        <w:spacing w:after="160" w:line="360" w:lineRule="auto"/>
        <w:ind w:left="283"/>
        <w:jc w:val="both"/>
        <w:rPr>
          <w:sz w:val="24"/>
          <w:szCs w:val="24"/>
          <w:lang w:val="es-MX"/>
        </w:rPr>
      </w:pPr>
      <w:r w:rsidRPr="00FB0889">
        <w:rPr>
          <w:sz w:val="24"/>
          <w:szCs w:val="24"/>
          <w:lang w:val="es-MX"/>
        </w:rPr>
        <w:t xml:space="preserve">Para el presente plan de diseño, desarrollo y validación se trabajó en la alineación de los dominios y criterios a medir contenidos en el perfil profesional para Supervisores en el </w:t>
      </w:r>
      <w:r w:rsidRPr="00FB0889">
        <w:rPr>
          <w:i/>
          <w:sz w:val="24"/>
          <w:szCs w:val="24"/>
          <w:lang w:val="es-MX"/>
        </w:rPr>
        <w:t xml:space="preserve">Marco para la excelencia en la enseñanza y la gestión escolar en la Educación Básica </w:t>
      </w:r>
      <w:r w:rsidRPr="00FB0889">
        <w:rPr>
          <w:sz w:val="24"/>
          <w:szCs w:val="24"/>
          <w:lang w:val="es-MX"/>
        </w:rPr>
        <w:t>(SEP, 2019), con un modelo sustantivo que identifica claramente los componentes  principales que subyacen al objeto de medición y su interacción, a fin de orientar el desarrollo de la Encuesta de Percepción sobre el Trabajo Directivo y Aportaciones al Colectivo Escolar como un instrumento de valoración que permita dar cuenta de su complejidad, al obtener mediciones cuya interpretación dé cuenta de las características de los aspirantes.</w:t>
      </w:r>
    </w:p>
    <w:p w14:paraId="31CB9D33" w14:textId="77777777" w:rsidR="00461546" w:rsidRPr="00FB0889" w:rsidRDefault="00FB0889">
      <w:pPr>
        <w:spacing w:after="160" w:line="360" w:lineRule="auto"/>
        <w:ind w:left="283"/>
        <w:jc w:val="both"/>
        <w:rPr>
          <w:sz w:val="24"/>
          <w:szCs w:val="24"/>
          <w:lang w:val="es-MX"/>
        </w:rPr>
      </w:pPr>
      <w:r w:rsidRPr="00FB0889">
        <w:rPr>
          <w:sz w:val="24"/>
          <w:szCs w:val="24"/>
          <w:lang w:val="es-MX"/>
        </w:rPr>
        <w:t>Durante la fase de diseño, se trabajó con un modelo nomológico que integra las propuestas de Nitko (1994) en cuanto al diseño de pruebas alineadas a un marco normativo, y las propuestas para el diseño de pruebas cognitivas de Mislevy (2007) y Embretson y Gorin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6B5A6905" w14:textId="77777777" w:rsidR="00461546" w:rsidRPr="00FB0889" w:rsidRDefault="00FB0889">
      <w:pPr>
        <w:spacing w:after="160" w:line="360" w:lineRule="auto"/>
        <w:ind w:left="283"/>
        <w:jc w:val="both"/>
        <w:rPr>
          <w:sz w:val="24"/>
          <w:szCs w:val="24"/>
          <w:lang w:val="es-MX"/>
        </w:rPr>
      </w:pPr>
      <w:r w:rsidRPr="00FB0889">
        <w:rPr>
          <w:sz w:val="24"/>
          <w:szCs w:val="24"/>
          <w:lang w:val="es-MX"/>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067BC733" w14:textId="77777777" w:rsidR="00461546" w:rsidRPr="00FB0889" w:rsidRDefault="00FB0889">
      <w:pPr>
        <w:spacing w:after="160" w:line="360" w:lineRule="auto"/>
        <w:ind w:left="283"/>
        <w:jc w:val="both"/>
        <w:rPr>
          <w:sz w:val="24"/>
          <w:szCs w:val="24"/>
          <w:lang w:val="es-MX"/>
        </w:rPr>
      </w:pPr>
      <w:r w:rsidRPr="00FB0889">
        <w:rPr>
          <w:sz w:val="24"/>
          <w:szCs w:val="24"/>
          <w:lang w:val="es-MX"/>
        </w:rPr>
        <w:t xml:space="preserve">Finalmente, es importante enfatizar que el esfuerzo concentrado en la fase de validación puede también encontrarse de manera transversal durante el desarrollo de </w:t>
      </w:r>
      <w:r w:rsidRPr="00FB0889">
        <w:rPr>
          <w:sz w:val="24"/>
          <w:szCs w:val="24"/>
          <w:lang w:val="es-MX"/>
        </w:rPr>
        <w:lastRenderedPageBreak/>
        <w:t>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5595B609" w14:textId="77777777" w:rsidR="00461546" w:rsidRPr="00FB0889" w:rsidRDefault="00FB0889">
      <w:pPr>
        <w:spacing w:after="160" w:line="360" w:lineRule="auto"/>
        <w:ind w:left="283"/>
        <w:jc w:val="both"/>
        <w:rPr>
          <w:sz w:val="24"/>
          <w:szCs w:val="24"/>
          <w:lang w:val="es-MX"/>
        </w:rPr>
      </w:pPr>
      <w:r w:rsidRPr="00FB0889">
        <w:rPr>
          <w:sz w:val="24"/>
          <w:szCs w:val="24"/>
          <w:lang w:val="es-MX"/>
        </w:rPr>
        <w:t>A continuación, se presentan los detalles correspondientes al modelo de diseño, desarrollo y validación de la Encuesta de Percepción sobre el Trabajo Directivo y Aportaciones al Colectivo Escolar aplicado como parte del proceso de selección para la promoción vertical a aspirantes a la función de supervisor, las fases y acciones que lo componen, y el sustento teórico y metodológico que le subyace.</w:t>
      </w:r>
    </w:p>
    <w:p w14:paraId="6B754E2F" w14:textId="77777777" w:rsidR="00461546" w:rsidRPr="00FB0889" w:rsidRDefault="00461546">
      <w:pPr>
        <w:spacing w:after="160" w:line="360" w:lineRule="auto"/>
        <w:ind w:left="425"/>
        <w:jc w:val="both"/>
        <w:rPr>
          <w:sz w:val="24"/>
          <w:szCs w:val="24"/>
          <w:lang w:val="es-MX"/>
        </w:rPr>
      </w:pPr>
    </w:p>
    <w:p w14:paraId="0E4555E4" w14:textId="77777777" w:rsidR="00461546" w:rsidRPr="00FB0889" w:rsidRDefault="00FB0889">
      <w:pPr>
        <w:spacing w:after="160" w:line="360" w:lineRule="auto"/>
        <w:jc w:val="both"/>
        <w:rPr>
          <w:b/>
          <w:sz w:val="24"/>
          <w:szCs w:val="24"/>
          <w:lang w:val="es-MX"/>
        </w:rPr>
      </w:pPr>
      <w:r w:rsidRPr="00FB0889">
        <w:rPr>
          <w:b/>
          <w:sz w:val="24"/>
          <w:szCs w:val="24"/>
          <w:lang w:val="es-MX"/>
        </w:rPr>
        <w:t>2.1. Enfoque de apreciación</w:t>
      </w:r>
    </w:p>
    <w:p w14:paraId="14FCC633" w14:textId="77777777" w:rsidR="00461546" w:rsidRPr="00FB0889" w:rsidRDefault="00FB0889">
      <w:pPr>
        <w:widowControl w:val="0"/>
        <w:spacing w:after="160" w:line="360" w:lineRule="auto"/>
        <w:ind w:left="283" w:right="138"/>
        <w:jc w:val="both"/>
        <w:rPr>
          <w:sz w:val="24"/>
          <w:szCs w:val="24"/>
          <w:lang w:val="es-MX"/>
        </w:rPr>
      </w:pPr>
      <w:r w:rsidRPr="00FB0889">
        <w:rPr>
          <w:sz w:val="24"/>
          <w:szCs w:val="24"/>
          <w:lang w:val="es-MX"/>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404C591C" w14:textId="77777777" w:rsidR="00461546" w:rsidRPr="00FB0889" w:rsidRDefault="00FB0889">
      <w:pPr>
        <w:widowControl w:val="0"/>
        <w:spacing w:after="160" w:line="360" w:lineRule="auto"/>
        <w:ind w:left="283" w:right="138"/>
        <w:jc w:val="both"/>
        <w:rPr>
          <w:sz w:val="24"/>
          <w:szCs w:val="24"/>
          <w:lang w:val="es-MX"/>
        </w:rPr>
      </w:pPr>
      <w:r w:rsidRPr="00FB0889">
        <w:rPr>
          <w:sz w:val="24"/>
          <w:szCs w:val="24"/>
          <w:lang w:val="es-MX"/>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w:t>
      </w:r>
      <w:r w:rsidRPr="00FB0889">
        <w:rPr>
          <w:sz w:val="24"/>
          <w:szCs w:val="24"/>
          <w:lang w:val="es-MX"/>
        </w:rPr>
        <w:lastRenderedPageBreak/>
        <w:t>responsabilidad y 3) el principio del carácter continuo y prospectivo del proceso.</w:t>
      </w:r>
    </w:p>
    <w:p w14:paraId="4C03650E" w14:textId="77777777" w:rsidR="00461546" w:rsidRPr="00FB0889" w:rsidRDefault="00FB0889">
      <w:pPr>
        <w:widowControl w:val="0"/>
        <w:spacing w:after="160" w:line="360" w:lineRule="auto"/>
        <w:ind w:left="283" w:right="138"/>
        <w:jc w:val="both"/>
        <w:rPr>
          <w:sz w:val="24"/>
          <w:szCs w:val="24"/>
          <w:lang w:val="es-MX"/>
        </w:rPr>
      </w:pPr>
      <w:r w:rsidRPr="00FB0889">
        <w:rPr>
          <w:sz w:val="24"/>
          <w:szCs w:val="24"/>
          <w:lang w:val="es-MX"/>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3948BAC7" w14:textId="77777777" w:rsidR="00461546" w:rsidRPr="00FB0889" w:rsidRDefault="00FB0889">
      <w:pPr>
        <w:spacing w:after="160" w:line="360" w:lineRule="auto"/>
        <w:ind w:left="283"/>
        <w:jc w:val="both"/>
        <w:rPr>
          <w:sz w:val="24"/>
          <w:szCs w:val="24"/>
          <w:lang w:val="es-MX"/>
        </w:rPr>
      </w:pPr>
      <w:r w:rsidRPr="00FB0889">
        <w:rPr>
          <w:sz w:val="24"/>
          <w:szCs w:val="24"/>
          <w:lang w:val="es-MX"/>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36324553" w14:textId="77777777" w:rsidR="00461546" w:rsidRPr="00FB0889" w:rsidRDefault="00461546">
      <w:pPr>
        <w:spacing w:after="160" w:line="360" w:lineRule="auto"/>
        <w:ind w:left="425"/>
        <w:jc w:val="both"/>
        <w:rPr>
          <w:sz w:val="24"/>
          <w:szCs w:val="24"/>
          <w:lang w:val="es-MX"/>
        </w:rPr>
      </w:pPr>
    </w:p>
    <w:p w14:paraId="419A639C" w14:textId="77777777" w:rsidR="00461546" w:rsidRPr="00FB0889" w:rsidRDefault="00461546">
      <w:pPr>
        <w:spacing w:after="160" w:line="360" w:lineRule="auto"/>
        <w:ind w:left="425"/>
        <w:jc w:val="both"/>
        <w:rPr>
          <w:sz w:val="24"/>
          <w:szCs w:val="24"/>
          <w:lang w:val="es-MX"/>
        </w:rPr>
      </w:pPr>
    </w:p>
    <w:p w14:paraId="5AEC2512" w14:textId="77777777" w:rsidR="00461546" w:rsidRPr="00FB0889" w:rsidRDefault="00461546">
      <w:pPr>
        <w:spacing w:after="160" w:line="360" w:lineRule="auto"/>
        <w:ind w:left="425"/>
        <w:jc w:val="both"/>
        <w:rPr>
          <w:sz w:val="24"/>
          <w:szCs w:val="24"/>
          <w:lang w:val="es-MX"/>
        </w:rPr>
      </w:pPr>
    </w:p>
    <w:p w14:paraId="305715BB" w14:textId="77777777" w:rsidR="00461546" w:rsidRPr="00FB0889" w:rsidRDefault="00461546">
      <w:pPr>
        <w:spacing w:after="160" w:line="360" w:lineRule="auto"/>
        <w:ind w:left="425"/>
        <w:jc w:val="both"/>
        <w:rPr>
          <w:sz w:val="24"/>
          <w:szCs w:val="24"/>
          <w:lang w:val="es-MX"/>
        </w:rPr>
      </w:pPr>
    </w:p>
    <w:p w14:paraId="17E979E2" w14:textId="77777777" w:rsidR="00461546" w:rsidRPr="00FB0889" w:rsidRDefault="00461546">
      <w:pPr>
        <w:spacing w:after="160" w:line="360" w:lineRule="auto"/>
        <w:ind w:left="425"/>
        <w:jc w:val="both"/>
        <w:rPr>
          <w:sz w:val="24"/>
          <w:szCs w:val="24"/>
          <w:lang w:val="es-MX"/>
        </w:rPr>
      </w:pPr>
    </w:p>
    <w:p w14:paraId="72F5897F" w14:textId="77777777" w:rsidR="00461546" w:rsidRPr="00FB0889" w:rsidRDefault="00461546">
      <w:pPr>
        <w:spacing w:after="160" w:line="360" w:lineRule="auto"/>
        <w:ind w:left="425"/>
        <w:jc w:val="both"/>
        <w:rPr>
          <w:sz w:val="24"/>
          <w:szCs w:val="24"/>
          <w:lang w:val="es-MX"/>
        </w:rPr>
      </w:pPr>
    </w:p>
    <w:p w14:paraId="3133F2CF" w14:textId="77777777" w:rsidR="00461546" w:rsidRPr="00FB0889" w:rsidRDefault="00FB0889">
      <w:pPr>
        <w:spacing w:after="160" w:line="360" w:lineRule="auto"/>
        <w:jc w:val="both"/>
        <w:rPr>
          <w:b/>
          <w:sz w:val="24"/>
          <w:szCs w:val="24"/>
          <w:lang w:val="es-MX"/>
        </w:rPr>
      </w:pPr>
      <w:bookmarkStart w:id="2" w:name="_30j0zll" w:colFirst="0" w:colLast="0"/>
      <w:bookmarkEnd w:id="2"/>
      <w:r w:rsidRPr="00FB0889">
        <w:rPr>
          <w:b/>
          <w:sz w:val="24"/>
          <w:szCs w:val="24"/>
          <w:lang w:val="es-MX"/>
        </w:rPr>
        <w:lastRenderedPageBreak/>
        <w:t xml:space="preserve">2.2. Modelo de Diseño, Desarrollo y Validación del Instrumento de apreciación </w:t>
      </w:r>
    </w:p>
    <w:p w14:paraId="30F6BD93" w14:textId="77777777" w:rsidR="00461546" w:rsidRPr="00FB0889" w:rsidRDefault="00FB0889">
      <w:pPr>
        <w:spacing w:after="160" w:line="360" w:lineRule="auto"/>
        <w:ind w:left="425"/>
        <w:jc w:val="both"/>
        <w:rPr>
          <w:b/>
          <w:sz w:val="24"/>
          <w:szCs w:val="24"/>
          <w:lang w:val="es-MX"/>
        </w:rPr>
      </w:pPr>
      <w:r w:rsidRPr="00FB0889">
        <w:rPr>
          <w:sz w:val="24"/>
          <w:szCs w:val="24"/>
          <w:lang w:val="es-MX"/>
        </w:rPr>
        <w:t>En la Tabla 1 se presentan las fases que comprenden el presente modelo de diseño, desarrollo y validación de la Encuesta de Percepción sobre el Trabajo Directivo y Aportaciones al Colectivo Escolar y las actividades a desarrollar como parte de cada una de ellas.</w:t>
      </w:r>
    </w:p>
    <w:p w14:paraId="04D38A18" w14:textId="77777777" w:rsidR="00461546" w:rsidRPr="00FB0889" w:rsidRDefault="00FB0889">
      <w:pPr>
        <w:spacing w:after="160" w:line="360" w:lineRule="auto"/>
        <w:ind w:left="425"/>
        <w:jc w:val="center"/>
        <w:rPr>
          <w:b/>
          <w:sz w:val="24"/>
          <w:szCs w:val="24"/>
          <w:highlight w:val="yellow"/>
          <w:lang w:val="es-MX"/>
        </w:rPr>
      </w:pPr>
      <w:r w:rsidRPr="00FB0889">
        <w:rPr>
          <w:b/>
          <w:sz w:val="24"/>
          <w:szCs w:val="24"/>
          <w:lang w:val="es-MX"/>
        </w:rPr>
        <w:t xml:space="preserve">Tabla 1. Modelo de diseño, desarrollo y validación de la Encuesta de Percepción sobre el Trabajo Directivo y Aportaciones al Colectivo Escolar alineado a los Perfiles profesionales publicados en el  </w:t>
      </w:r>
      <w:r w:rsidRPr="00FB0889">
        <w:rPr>
          <w:b/>
          <w:i/>
          <w:sz w:val="24"/>
          <w:szCs w:val="24"/>
          <w:lang w:val="es-MX"/>
        </w:rPr>
        <w:t>Marco para la excelencia en la enseñanza y la gestión escolar en la Educación Básica</w:t>
      </w:r>
    </w:p>
    <w:tbl>
      <w:tblPr>
        <w:tblStyle w:val="a0"/>
        <w:tblW w:w="8821"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126"/>
      </w:tblGrid>
      <w:tr w:rsidR="00461546" w14:paraId="04D0BE69" w14:textId="77777777" w:rsidTr="00FB0889">
        <w:tc>
          <w:tcPr>
            <w:tcW w:w="1695" w:type="dxa"/>
            <w:shd w:val="clear" w:color="auto" w:fill="B7B7B7"/>
            <w:tcMar>
              <w:top w:w="100" w:type="dxa"/>
              <w:left w:w="100" w:type="dxa"/>
              <w:bottom w:w="100" w:type="dxa"/>
              <w:right w:w="100" w:type="dxa"/>
            </w:tcMar>
          </w:tcPr>
          <w:p w14:paraId="42657E74" w14:textId="77777777" w:rsidR="00461546" w:rsidRDefault="00FB0889">
            <w:pPr>
              <w:widowControl w:val="0"/>
              <w:spacing w:line="360" w:lineRule="auto"/>
              <w:jc w:val="center"/>
              <w:rPr>
                <w:b/>
                <w:sz w:val="18"/>
                <w:szCs w:val="18"/>
              </w:rPr>
            </w:pPr>
            <w:r>
              <w:rPr>
                <w:b/>
                <w:sz w:val="18"/>
                <w:szCs w:val="18"/>
              </w:rPr>
              <w:t>Fase</w:t>
            </w:r>
          </w:p>
        </w:tc>
        <w:tc>
          <w:tcPr>
            <w:tcW w:w="7126" w:type="dxa"/>
            <w:shd w:val="clear" w:color="auto" w:fill="B7B7B7"/>
            <w:tcMar>
              <w:top w:w="100" w:type="dxa"/>
              <w:left w:w="100" w:type="dxa"/>
              <w:bottom w:w="100" w:type="dxa"/>
              <w:right w:w="100" w:type="dxa"/>
            </w:tcMar>
          </w:tcPr>
          <w:p w14:paraId="4AB109C6" w14:textId="77777777" w:rsidR="00461546" w:rsidRDefault="00FB0889">
            <w:pPr>
              <w:widowControl w:val="0"/>
              <w:spacing w:line="360" w:lineRule="auto"/>
              <w:jc w:val="center"/>
              <w:rPr>
                <w:b/>
                <w:sz w:val="18"/>
                <w:szCs w:val="18"/>
              </w:rPr>
            </w:pPr>
            <w:r>
              <w:rPr>
                <w:b/>
                <w:sz w:val="18"/>
                <w:szCs w:val="18"/>
              </w:rPr>
              <w:t>Actividades a desarrollar</w:t>
            </w:r>
          </w:p>
        </w:tc>
      </w:tr>
      <w:tr w:rsidR="00461546" w:rsidRPr="00181DD1" w14:paraId="7DD44CA4" w14:textId="77777777" w:rsidTr="00FB0889">
        <w:trPr>
          <w:trHeight w:val="440"/>
        </w:trPr>
        <w:tc>
          <w:tcPr>
            <w:tcW w:w="1695" w:type="dxa"/>
            <w:vMerge w:val="restart"/>
            <w:shd w:val="clear" w:color="auto" w:fill="auto"/>
            <w:tcMar>
              <w:top w:w="100" w:type="dxa"/>
              <w:left w:w="100" w:type="dxa"/>
              <w:bottom w:w="100" w:type="dxa"/>
              <w:right w:w="100" w:type="dxa"/>
            </w:tcMar>
            <w:vAlign w:val="center"/>
          </w:tcPr>
          <w:p w14:paraId="57256E93" w14:textId="77777777" w:rsidR="00461546" w:rsidRDefault="00461546">
            <w:pPr>
              <w:widowControl w:val="0"/>
              <w:spacing w:line="360" w:lineRule="auto"/>
              <w:jc w:val="center"/>
              <w:rPr>
                <w:sz w:val="18"/>
                <w:szCs w:val="18"/>
              </w:rPr>
            </w:pPr>
          </w:p>
          <w:p w14:paraId="520FF297" w14:textId="77777777" w:rsidR="00461546" w:rsidRDefault="00FB0889">
            <w:pPr>
              <w:widowControl w:val="0"/>
              <w:spacing w:line="360" w:lineRule="auto"/>
              <w:jc w:val="center"/>
              <w:rPr>
                <w:sz w:val="18"/>
                <w:szCs w:val="18"/>
              </w:rPr>
            </w:pPr>
            <w:r>
              <w:rPr>
                <w:sz w:val="18"/>
                <w:szCs w:val="18"/>
              </w:rPr>
              <w:t>I. Diseño</w:t>
            </w:r>
          </w:p>
        </w:tc>
        <w:tc>
          <w:tcPr>
            <w:tcW w:w="7126" w:type="dxa"/>
            <w:shd w:val="clear" w:color="auto" w:fill="auto"/>
            <w:tcMar>
              <w:top w:w="100" w:type="dxa"/>
              <w:left w:w="100" w:type="dxa"/>
              <w:bottom w:w="100" w:type="dxa"/>
              <w:right w:w="100" w:type="dxa"/>
            </w:tcMar>
            <w:vAlign w:val="center"/>
          </w:tcPr>
          <w:p w14:paraId="48DA67FE" w14:textId="77777777" w:rsidR="00461546" w:rsidRPr="00FB0889" w:rsidRDefault="00FB0889">
            <w:pPr>
              <w:widowControl w:val="0"/>
              <w:spacing w:line="360" w:lineRule="auto"/>
              <w:jc w:val="both"/>
              <w:rPr>
                <w:sz w:val="18"/>
                <w:szCs w:val="18"/>
                <w:lang w:val="es-MX"/>
              </w:rPr>
            </w:pPr>
            <w:r w:rsidRPr="00FB0889">
              <w:rPr>
                <w:sz w:val="18"/>
                <w:szCs w:val="18"/>
                <w:lang w:val="es-MX"/>
              </w:rPr>
              <w:t>1.1. Crear el Comité técnico del desarrollo del instrumento de apreciación</w:t>
            </w:r>
          </w:p>
        </w:tc>
      </w:tr>
      <w:tr w:rsidR="00461546" w:rsidRPr="00181DD1" w14:paraId="3C0C0620" w14:textId="77777777" w:rsidTr="00FB0889">
        <w:trPr>
          <w:trHeight w:val="440"/>
        </w:trPr>
        <w:tc>
          <w:tcPr>
            <w:tcW w:w="1695" w:type="dxa"/>
            <w:vMerge/>
            <w:shd w:val="clear" w:color="auto" w:fill="auto"/>
            <w:tcMar>
              <w:top w:w="100" w:type="dxa"/>
              <w:left w:w="100" w:type="dxa"/>
              <w:bottom w:w="100" w:type="dxa"/>
              <w:right w:w="100" w:type="dxa"/>
            </w:tcMar>
            <w:vAlign w:val="center"/>
          </w:tcPr>
          <w:p w14:paraId="548D39D2" w14:textId="77777777" w:rsidR="00461546" w:rsidRPr="00FB0889" w:rsidRDefault="00461546">
            <w:pPr>
              <w:widowControl w:val="0"/>
              <w:spacing w:line="240" w:lineRule="auto"/>
              <w:jc w:val="center"/>
              <w:rPr>
                <w:sz w:val="18"/>
                <w:szCs w:val="18"/>
                <w:lang w:val="es-MX"/>
              </w:rPr>
            </w:pPr>
          </w:p>
        </w:tc>
        <w:tc>
          <w:tcPr>
            <w:tcW w:w="7126" w:type="dxa"/>
            <w:shd w:val="clear" w:color="auto" w:fill="auto"/>
            <w:tcMar>
              <w:top w:w="100" w:type="dxa"/>
              <w:left w:w="100" w:type="dxa"/>
              <w:bottom w:w="100" w:type="dxa"/>
              <w:right w:w="100" w:type="dxa"/>
            </w:tcMar>
            <w:vAlign w:val="center"/>
          </w:tcPr>
          <w:p w14:paraId="48F00C13" w14:textId="77777777" w:rsidR="00461546" w:rsidRPr="00FB0889" w:rsidRDefault="00FB0889">
            <w:pPr>
              <w:widowControl w:val="0"/>
              <w:spacing w:line="360" w:lineRule="auto"/>
              <w:jc w:val="both"/>
              <w:rPr>
                <w:sz w:val="18"/>
                <w:szCs w:val="18"/>
                <w:lang w:val="es-MX"/>
              </w:rPr>
            </w:pPr>
            <w:r w:rsidRPr="00FB0889">
              <w:rPr>
                <w:sz w:val="18"/>
                <w:szCs w:val="18"/>
                <w:lang w:val="es-MX"/>
              </w:rPr>
              <w:t>1.2. Analizar los Perfiles profesionales y el contenido de la Ley General del Sistema para la Carrera de las Maestras y los Maestros</w:t>
            </w:r>
          </w:p>
        </w:tc>
      </w:tr>
      <w:tr w:rsidR="00461546" w:rsidRPr="00181DD1" w14:paraId="013FEDFF" w14:textId="77777777" w:rsidTr="00FB0889">
        <w:trPr>
          <w:trHeight w:val="440"/>
        </w:trPr>
        <w:tc>
          <w:tcPr>
            <w:tcW w:w="1695" w:type="dxa"/>
            <w:vMerge/>
            <w:shd w:val="clear" w:color="auto" w:fill="auto"/>
            <w:tcMar>
              <w:top w:w="100" w:type="dxa"/>
              <w:left w:w="100" w:type="dxa"/>
              <w:bottom w:w="100" w:type="dxa"/>
              <w:right w:w="100" w:type="dxa"/>
            </w:tcMar>
            <w:vAlign w:val="center"/>
          </w:tcPr>
          <w:p w14:paraId="3453CF92" w14:textId="77777777" w:rsidR="00461546" w:rsidRPr="00FB0889" w:rsidRDefault="00461546">
            <w:pPr>
              <w:widowControl w:val="0"/>
              <w:spacing w:line="240" w:lineRule="auto"/>
              <w:jc w:val="center"/>
              <w:rPr>
                <w:sz w:val="18"/>
                <w:szCs w:val="18"/>
                <w:lang w:val="es-MX"/>
              </w:rPr>
            </w:pPr>
          </w:p>
        </w:tc>
        <w:tc>
          <w:tcPr>
            <w:tcW w:w="7126" w:type="dxa"/>
            <w:shd w:val="clear" w:color="auto" w:fill="auto"/>
            <w:tcMar>
              <w:top w:w="100" w:type="dxa"/>
              <w:left w:w="100" w:type="dxa"/>
              <w:bottom w:w="100" w:type="dxa"/>
              <w:right w:w="100" w:type="dxa"/>
            </w:tcMar>
            <w:vAlign w:val="center"/>
          </w:tcPr>
          <w:p w14:paraId="0E4ED4A1" w14:textId="77777777" w:rsidR="00461546" w:rsidRPr="00FB0889" w:rsidRDefault="00FB0889">
            <w:pPr>
              <w:widowControl w:val="0"/>
              <w:spacing w:line="360" w:lineRule="auto"/>
              <w:jc w:val="both"/>
              <w:rPr>
                <w:sz w:val="18"/>
                <w:szCs w:val="18"/>
                <w:lang w:val="es-MX"/>
              </w:rPr>
            </w:pPr>
            <w:r w:rsidRPr="00FB0889">
              <w:rPr>
                <w:sz w:val="18"/>
                <w:szCs w:val="18"/>
                <w:lang w:val="es-MX"/>
              </w:rPr>
              <w:t>1.3. Elaborar el Marco de Referencia y el Plan de Diseño, Desarrollo y Validación del instrumento de apreciación.</w:t>
            </w:r>
          </w:p>
        </w:tc>
      </w:tr>
      <w:tr w:rsidR="00461546" w:rsidRPr="00181DD1" w14:paraId="1B5E928B" w14:textId="77777777" w:rsidTr="00FB0889">
        <w:trPr>
          <w:trHeight w:val="440"/>
        </w:trPr>
        <w:tc>
          <w:tcPr>
            <w:tcW w:w="1695" w:type="dxa"/>
            <w:vMerge/>
            <w:shd w:val="clear" w:color="auto" w:fill="auto"/>
            <w:tcMar>
              <w:top w:w="100" w:type="dxa"/>
              <w:left w:w="100" w:type="dxa"/>
              <w:bottom w:w="100" w:type="dxa"/>
              <w:right w:w="100" w:type="dxa"/>
            </w:tcMar>
            <w:vAlign w:val="center"/>
          </w:tcPr>
          <w:p w14:paraId="0C9A0A62" w14:textId="77777777" w:rsidR="00461546" w:rsidRPr="00FB0889" w:rsidRDefault="00461546">
            <w:pPr>
              <w:widowControl w:val="0"/>
              <w:spacing w:line="240" w:lineRule="auto"/>
              <w:jc w:val="center"/>
              <w:rPr>
                <w:sz w:val="18"/>
                <w:szCs w:val="18"/>
                <w:lang w:val="es-MX"/>
              </w:rPr>
            </w:pPr>
          </w:p>
        </w:tc>
        <w:tc>
          <w:tcPr>
            <w:tcW w:w="7126" w:type="dxa"/>
            <w:shd w:val="clear" w:color="auto" w:fill="auto"/>
            <w:tcMar>
              <w:top w:w="100" w:type="dxa"/>
              <w:left w:w="100" w:type="dxa"/>
              <w:bottom w:w="100" w:type="dxa"/>
              <w:right w:w="100" w:type="dxa"/>
            </w:tcMar>
            <w:vAlign w:val="center"/>
          </w:tcPr>
          <w:p w14:paraId="0C8D14AB" w14:textId="77777777" w:rsidR="00461546" w:rsidRPr="00FB0889" w:rsidRDefault="00FB0889">
            <w:pPr>
              <w:widowControl w:val="0"/>
              <w:spacing w:line="360" w:lineRule="auto"/>
              <w:jc w:val="both"/>
              <w:rPr>
                <w:sz w:val="18"/>
                <w:szCs w:val="18"/>
                <w:lang w:val="es-MX"/>
              </w:rPr>
            </w:pPr>
            <w:r w:rsidRPr="00FB0889">
              <w:rPr>
                <w:sz w:val="18"/>
                <w:szCs w:val="18"/>
                <w:lang w:val="es-MX"/>
              </w:rPr>
              <w:t>1.4. Delimitar y alinear el contenido de los Perfiles profesionales con teoría sustantiva que respalde la definición de los rasgos a medir</w:t>
            </w:r>
          </w:p>
        </w:tc>
      </w:tr>
      <w:tr w:rsidR="00461546" w:rsidRPr="00181DD1" w14:paraId="45F193E7" w14:textId="77777777" w:rsidTr="00FB0889">
        <w:trPr>
          <w:trHeight w:val="440"/>
        </w:trPr>
        <w:tc>
          <w:tcPr>
            <w:tcW w:w="1695" w:type="dxa"/>
            <w:vMerge/>
            <w:shd w:val="clear" w:color="auto" w:fill="auto"/>
            <w:tcMar>
              <w:top w:w="100" w:type="dxa"/>
              <w:left w:w="100" w:type="dxa"/>
              <w:bottom w:w="100" w:type="dxa"/>
              <w:right w:w="100" w:type="dxa"/>
            </w:tcMar>
            <w:vAlign w:val="center"/>
          </w:tcPr>
          <w:p w14:paraId="162892FC" w14:textId="77777777" w:rsidR="00461546" w:rsidRPr="00FB0889" w:rsidRDefault="00461546">
            <w:pPr>
              <w:widowControl w:val="0"/>
              <w:spacing w:line="240" w:lineRule="auto"/>
              <w:jc w:val="center"/>
              <w:rPr>
                <w:sz w:val="18"/>
                <w:szCs w:val="18"/>
                <w:lang w:val="es-MX"/>
              </w:rPr>
            </w:pPr>
          </w:p>
        </w:tc>
        <w:tc>
          <w:tcPr>
            <w:tcW w:w="7126" w:type="dxa"/>
            <w:vMerge w:val="restart"/>
            <w:shd w:val="clear" w:color="auto" w:fill="auto"/>
            <w:tcMar>
              <w:top w:w="100" w:type="dxa"/>
              <w:left w:w="100" w:type="dxa"/>
              <w:bottom w:w="100" w:type="dxa"/>
              <w:right w:w="100" w:type="dxa"/>
            </w:tcMar>
            <w:vAlign w:val="center"/>
          </w:tcPr>
          <w:p w14:paraId="2D9B9D62" w14:textId="77777777" w:rsidR="00461546" w:rsidRPr="00FB0889" w:rsidRDefault="00FB0889">
            <w:pPr>
              <w:widowControl w:val="0"/>
              <w:spacing w:line="360" w:lineRule="auto"/>
              <w:jc w:val="both"/>
              <w:rPr>
                <w:sz w:val="18"/>
                <w:szCs w:val="18"/>
                <w:lang w:val="es-MX"/>
              </w:rPr>
            </w:pPr>
            <w:r w:rsidRPr="00FB0889">
              <w:rPr>
                <w:sz w:val="18"/>
                <w:szCs w:val="18"/>
                <w:lang w:val="es-MX"/>
              </w:rPr>
              <w:t>1.5. Definir la estructura interna y los componentes principales del instrumento de apreciación.</w:t>
            </w:r>
          </w:p>
        </w:tc>
      </w:tr>
      <w:tr w:rsidR="00461546" w:rsidRPr="00181DD1" w14:paraId="6DBF0BD3" w14:textId="77777777" w:rsidTr="00FB0889">
        <w:trPr>
          <w:trHeight w:val="207"/>
        </w:trPr>
        <w:tc>
          <w:tcPr>
            <w:tcW w:w="1695" w:type="dxa"/>
            <w:vMerge/>
            <w:shd w:val="clear" w:color="auto" w:fill="auto"/>
            <w:tcMar>
              <w:top w:w="100" w:type="dxa"/>
              <w:left w:w="100" w:type="dxa"/>
              <w:bottom w:w="100" w:type="dxa"/>
              <w:right w:w="100" w:type="dxa"/>
            </w:tcMar>
            <w:vAlign w:val="center"/>
          </w:tcPr>
          <w:p w14:paraId="5FC3D833" w14:textId="77777777" w:rsidR="00461546" w:rsidRPr="00FB0889" w:rsidRDefault="00461546">
            <w:pPr>
              <w:widowControl w:val="0"/>
              <w:spacing w:line="240" w:lineRule="auto"/>
              <w:rPr>
                <w:sz w:val="18"/>
                <w:szCs w:val="18"/>
                <w:lang w:val="es-MX"/>
              </w:rPr>
            </w:pPr>
          </w:p>
        </w:tc>
        <w:tc>
          <w:tcPr>
            <w:tcW w:w="7126" w:type="dxa"/>
            <w:vMerge/>
            <w:shd w:val="clear" w:color="auto" w:fill="auto"/>
            <w:tcMar>
              <w:top w:w="100" w:type="dxa"/>
              <w:left w:w="100" w:type="dxa"/>
              <w:bottom w:w="100" w:type="dxa"/>
              <w:right w:w="100" w:type="dxa"/>
            </w:tcMar>
            <w:vAlign w:val="center"/>
          </w:tcPr>
          <w:p w14:paraId="774A056D" w14:textId="77777777" w:rsidR="00461546" w:rsidRPr="00FB0889" w:rsidRDefault="00461546">
            <w:pPr>
              <w:widowControl w:val="0"/>
              <w:spacing w:line="240" w:lineRule="auto"/>
              <w:jc w:val="both"/>
              <w:rPr>
                <w:sz w:val="18"/>
                <w:szCs w:val="18"/>
                <w:lang w:val="es-MX"/>
              </w:rPr>
            </w:pPr>
          </w:p>
        </w:tc>
      </w:tr>
      <w:tr w:rsidR="00461546" w:rsidRPr="00181DD1" w14:paraId="3328A65F" w14:textId="77777777" w:rsidTr="00FB0889">
        <w:trPr>
          <w:trHeight w:val="207"/>
        </w:trPr>
        <w:tc>
          <w:tcPr>
            <w:tcW w:w="1695" w:type="dxa"/>
            <w:vMerge/>
            <w:shd w:val="clear" w:color="auto" w:fill="auto"/>
            <w:tcMar>
              <w:top w:w="100" w:type="dxa"/>
              <w:left w:w="100" w:type="dxa"/>
              <w:bottom w:w="100" w:type="dxa"/>
              <w:right w:w="100" w:type="dxa"/>
            </w:tcMar>
            <w:vAlign w:val="center"/>
          </w:tcPr>
          <w:p w14:paraId="553586C7" w14:textId="77777777" w:rsidR="00461546" w:rsidRPr="00FB0889" w:rsidRDefault="00461546">
            <w:pPr>
              <w:widowControl w:val="0"/>
              <w:spacing w:line="240" w:lineRule="auto"/>
              <w:rPr>
                <w:sz w:val="18"/>
                <w:szCs w:val="18"/>
                <w:lang w:val="es-MX"/>
              </w:rPr>
            </w:pPr>
          </w:p>
        </w:tc>
        <w:tc>
          <w:tcPr>
            <w:tcW w:w="7126" w:type="dxa"/>
            <w:vMerge/>
            <w:shd w:val="clear" w:color="auto" w:fill="auto"/>
            <w:tcMar>
              <w:top w:w="100" w:type="dxa"/>
              <w:left w:w="100" w:type="dxa"/>
              <w:bottom w:w="100" w:type="dxa"/>
              <w:right w:w="100" w:type="dxa"/>
            </w:tcMar>
            <w:vAlign w:val="center"/>
          </w:tcPr>
          <w:p w14:paraId="01805424" w14:textId="77777777" w:rsidR="00461546" w:rsidRPr="00FB0889" w:rsidRDefault="00461546">
            <w:pPr>
              <w:widowControl w:val="0"/>
              <w:spacing w:line="240" w:lineRule="auto"/>
              <w:jc w:val="both"/>
              <w:rPr>
                <w:sz w:val="18"/>
                <w:szCs w:val="18"/>
                <w:lang w:val="es-MX"/>
              </w:rPr>
            </w:pPr>
          </w:p>
        </w:tc>
      </w:tr>
      <w:tr w:rsidR="00461546" w:rsidRPr="00181DD1" w14:paraId="7317810B" w14:textId="77777777" w:rsidTr="00FB0889">
        <w:trPr>
          <w:trHeight w:val="440"/>
        </w:trPr>
        <w:tc>
          <w:tcPr>
            <w:tcW w:w="1695" w:type="dxa"/>
            <w:vMerge/>
            <w:shd w:val="clear" w:color="auto" w:fill="auto"/>
            <w:tcMar>
              <w:top w:w="100" w:type="dxa"/>
              <w:left w:w="100" w:type="dxa"/>
              <w:bottom w:w="100" w:type="dxa"/>
              <w:right w:w="100" w:type="dxa"/>
            </w:tcMar>
            <w:vAlign w:val="center"/>
          </w:tcPr>
          <w:p w14:paraId="39835451" w14:textId="77777777" w:rsidR="00461546" w:rsidRPr="00FB0889" w:rsidRDefault="00461546">
            <w:pPr>
              <w:widowControl w:val="0"/>
              <w:spacing w:line="240" w:lineRule="auto"/>
              <w:rPr>
                <w:sz w:val="18"/>
                <w:szCs w:val="18"/>
                <w:lang w:val="es-MX"/>
              </w:rPr>
            </w:pPr>
          </w:p>
        </w:tc>
        <w:tc>
          <w:tcPr>
            <w:tcW w:w="7126" w:type="dxa"/>
            <w:shd w:val="clear" w:color="auto" w:fill="auto"/>
            <w:tcMar>
              <w:top w:w="100" w:type="dxa"/>
              <w:left w:w="100" w:type="dxa"/>
              <w:bottom w:w="100" w:type="dxa"/>
              <w:right w:w="100" w:type="dxa"/>
            </w:tcMar>
            <w:vAlign w:val="center"/>
          </w:tcPr>
          <w:p w14:paraId="7E46898A" w14:textId="77777777" w:rsidR="00461546" w:rsidRPr="00FB0889" w:rsidRDefault="00FB0889">
            <w:pPr>
              <w:widowControl w:val="0"/>
              <w:spacing w:line="360" w:lineRule="auto"/>
              <w:jc w:val="both"/>
              <w:rPr>
                <w:sz w:val="18"/>
                <w:szCs w:val="18"/>
                <w:lang w:val="es-MX"/>
              </w:rPr>
            </w:pPr>
            <w:r w:rsidRPr="00FB0889">
              <w:rPr>
                <w:sz w:val="18"/>
                <w:szCs w:val="18"/>
                <w:lang w:val="es-MX"/>
              </w:rPr>
              <w:t>1.6. Crear el Comité de Expertos para la validación del Diseño (CEVDI) del instrumento de apreciación</w:t>
            </w:r>
          </w:p>
        </w:tc>
      </w:tr>
      <w:tr w:rsidR="00461546" w:rsidRPr="00181DD1" w14:paraId="37BCB50A" w14:textId="77777777" w:rsidTr="00FB0889">
        <w:trPr>
          <w:trHeight w:val="440"/>
        </w:trPr>
        <w:tc>
          <w:tcPr>
            <w:tcW w:w="1695" w:type="dxa"/>
            <w:vMerge/>
            <w:shd w:val="clear" w:color="auto" w:fill="auto"/>
            <w:tcMar>
              <w:top w:w="100" w:type="dxa"/>
              <w:left w:w="100" w:type="dxa"/>
              <w:bottom w:w="100" w:type="dxa"/>
              <w:right w:w="100" w:type="dxa"/>
            </w:tcMar>
            <w:vAlign w:val="center"/>
          </w:tcPr>
          <w:p w14:paraId="67BE8465" w14:textId="77777777" w:rsidR="00461546" w:rsidRPr="00FB0889" w:rsidRDefault="00461546">
            <w:pPr>
              <w:widowControl w:val="0"/>
              <w:spacing w:line="240" w:lineRule="auto"/>
              <w:rPr>
                <w:sz w:val="18"/>
                <w:szCs w:val="18"/>
                <w:lang w:val="es-MX"/>
              </w:rPr>
            </w:pPr>
          </w:p>
        </w:tc>
        <w:tc>
          <w:tcPr>
            <w:tcW w:w="7126" w:type="dxa"/>
            <w:shd w:val="clear" w:color="auto" w:fill="auto"/>
            <w:tcMar>
              <w:top w:w="100" w:type="dxa"/>
              <w:left w:w="100" w:type="dxa"/>
              <w:bottom w:w="100" w:type="dxa"/>
              <w:right w:w="100" w:type="dxa"/>
            </w:tcMar>
            <w:vAlign w:val="center"/>
          </w:tcPr>
          <w:p w14:paraId="12EA0B35" w14:textId="77777777" w:rsidR="00461546" w:rsidRPr="00FB0889" w:rsidRDefault="00FB0889">
            <w:pPr>
              <w:widowControl w:val="0"/>
              <w:spacing w:line="360" w:lineRule="auto"/>
              <w:jc w:val="both"/>
              <w:rPr>
                <w:sz w:val="18"/>
                <w:szCs w:val="18"/>
                <w:lang w:val="es-MX"/>
              </w:rPr>
            </w:pPr>
            <w:r w:rsidRPr="00FB0889">
              <w:rPr>
                <w:sz w:val="18"/>
                <w:szCs w:val="18"/>
                <w:lang w:val="es-MX"/>
              </w:rPr>
              <w:t>1.7. Someter el Marco de Referencia, el Plan de Diseño, Desarrollo y Validación y la propuesta de estructura interna a revisión y validación por parte del CEVDI</w:t>
            </w:r>
          </w:p>
        </w:tc>
      </w:tr>
      <w:tr w:rsidR="00461546" w:rsidRPr="00181DD1" w14:paraId="7DC3E517" w14:textId="77777777" w:rsidTr="00FB0889">
        <w:trPr>
          <w:trHeight w:val="440"/>
        </w:trPr>
        <w:tc>
          <w:tcPr>
            <w:tcW w:w="1695" w:type="dxa"/>
            <w:vMerge/>
            <w:shd w:val="clear" w:color="auto" w:fill="auto"/>
            <w:tcMar>
              <w:top w:w="100" w:type="dxa"/>
              <w:left w:w="100" w:type="dxa"/>
              <w:bottom w:w="100" w:type="dxa"/>
              <w:right w:w="100" w:type="dxa"/>
            </w:tcMar>
            <w:vAlign w:val="center"/>
          </w:tcPr>
          <w:p w14:paraId="5D7A10BB" w14:textId="77777777" w:rsidR="00461546" w:rsidRPr="00FB0889" w:rsidRDefault="00461546">
            <w:pPr>
              <w:widowControl w:val="0"/>
              <w:spacing w:line="240" w:lineRule="auto"/>
              <w:rPr>
                <w:sz w:val="18"/>
                <w:szCs w:val="18"/>
                <w:lang w:val="es-MX"/>
              </w:rPr>
            </w:pPr>
          </w:p>
        </w:tc>
        <w:tc>
          <w:tcPr>
            <w:tcW w:w="7126" w:type="dxa"/>
            <w:shd w:val="clear" w:color="auto" w:fill="auto"/>
            <w:tcMar>
              <w:top w:w="100" w:type="dxa"/>
              <w:left w:w="100" w:type="dxa"/>
              <w:bottom w:w="100" w:type="dxa"/>
              <w:right w:w="100" w:type="dxa"/>
            </w:tcMar>
            <w:vAlign w:val="center"/>
          </w:tcPr>
          <w:p w14:paraId="2EE0B671" w14:textId="77777777" w:rsidR="00461546" w:rsidRPr="00FB0889" w:rsidRDefault="00FB0889">
            <w:pPr>
              <w:widowControl w:val="0"/>
              <w:spacing w:line="360" w:lineRule="auto"/>
              <w:jc w:val="both"/>
              <w:rPr>
                <w:sz w:val="18"/>
                <w:szCs w:val="18"/>
                <w:lang w:val="es-MX"/>
              </w:rPr>
            </w:pPr>
            <w:r w:rsidRPr="00FB0889">
              <w:rPr>
                <w:sz w:val="18"/>
                <w:szCs w:val="18"/>
                <w:lang w:val="es-MX"/>
              </w:rPr>
              <w:t>1.8. Ajustar los documentos sujetos a revisión con base en la valoración y retroalimentación proporcionada por el CEVDI.</w:t>
            </w:r>
          </w:p>
        </w:tc>
      </w:tr>
      <w:tr w:rsidR="00461546" w:rsidRPr="00181DD1" w14:paraId="062D18EF" w14:textId="77777777" w:rsidTr="00FB0889">
        <w:trPr>
          <w:trHeight w:val="440"/>
        </w:trPr>
        <w:tc>
          <w:tcPr>
            <w:tcW w:w="1695" w:type="dxa"/>
            <w:vMerge/>
            <w:shd w:val="clear" w:color="auto" w:fill="auto"/>
            <w:tcMar>
              <w:top w:w="100" w:type="dxa"/>
              <w:left w:w="100" w:type="dxa"/>
              <w:bottom w:w="100" w:type="dxa"/>
              <w:right w:w="100" w:type="dxa"/>
            </w:tcMar>
            <w:vAlign w:val="center"/>
          </w:tcPr>
          <w:p w14:paraId="5F388D9A" w14:textId="77777777" w:rsidR="00461546" w:rsidRPr="00FB0889" w:rsidRDefault="00461546">
            <w:pPr>
              <w:widowControl w:val="0"/>
              <w:spacing w:line="240" w:lineRule="auto"/>
              <w:rPr>
                <w:sz w:val="18"/>
                <w:szCs w:val="18"/>
                <w:lang w:val="es-MX"/>
              </w:rPr>
            </w:pPr>
          </w:p>
        </w:tc>
        <w:tc>
          <w:tcPr>
            <w:tcW w:w="7126" w:type="dxa"/>
            <w:shd w:val="clear" w:color="auto" w:fill="auto"/>
            <w:tcMar>
              <w:top w:w="100" w:type="dxa"/>
              <w:left w:w="100" w:type="dxa"/>
              <w:bottom w:w="100" w:type="dxa"/>
              <w:right w:w="100" w:type="dxa"/>
            </w:tcMar>
            <w:vAlign w:val="center"/>
          </w:tcPr>
          <w:p w14:paraId="179D3CAB" w14:textId="77777777" w:rsidR="00461546" w:rsidRPr="00FB0889" w:rsidRDefault="00FB0889">
            <w:pPr>
              <w:widowControl w:val="0"/>
              <w:spacing w:line="360" w:lineRule="auto"/>
              <w:jc w:val="both"/>
              <w:rPr>
                <w:sz w:val="18"/>
                <w:szCs w:val="18"/>
                <w:lang w:val="es-MX"/>
              </w:rPr>
            </w:pPr>
            <w:r w:rsidRPr="00FB0889">
              <w:rPr>
                <w:sz w:val="18"/>
                <w:szCs w:val="18"/>
                <w:lang w:val="es-MX"/>
              </w:rPr>
              <w:t>1.9. Elaborar como primer producto el modelo nomológico que orientará el desarrollo del instrumento de apreciación</w:t>
            </w:r>
          </w:p>
        </w:tc>
      </w:tr>
      <w:tr w:rsidR="00461546" w:rsidRPr="00181DD1" w14:paraId="47517F8B" w14:textId="77777777" w:rsidTr="00FB0889">
        <w:trPr>
          <w:trHeight w:val="525"/>
        </w:trPr>
        <w:tc>
          <w:tcPr>
            <w:tcW w:w="1695" w:type="dxa"/>
            <w:vMerge w:val="restart"/>
            <w:shd w:val="clear" w:color="auto" w:fill="auto"/>
            <w:tcMar>
              <w:top w:w="100" w:type="dxa"/>
              <w:left w:w="100" w:type="dxa"/>
              <w:bottom w:w="100" w:type="dxa"/>
              <w:right w:w="100" w:type="dxa"/>
            </w:tcMar>
            <w:vAlign w:val="center"/>
          </w:tcPr>
          <w:p w14:paraId="0B222DC4" w14:textId="77777777" w:rsidR="00461546" w:rsidRDefault="00FB0889">
            <w:pPr>
              <w:widowControl w:val="0"/>
              <w:spacing w:line="360" w:lineRule="auto"/>
              <w:jc w:val="center"/>
              <w:rPr>
                <w:sz w:val="18"/>
                <w:szCs w:val="18"/>
              </w:rPr>
            </w:pPr>
            <w:r>
              <w:rPr>
                <w:sz w:val="18"/>
                <w:szCs w:val="18"/>
              </w:rPr>
              <w:lastRenderedPageBreak/>
              <w:t>II. Desarrollo</w:t>
            </w:r>
          </w:p>
        </w:tc>
        <w:tc>
          <w:tcPr>
            <w:tcW w:w="7126" w:type="dxa"/>
            <w:shd w:val="clear" w:color="auto" w:fill="auto"/>
            <w:tcMar>
              <w:top w:w="100" w:type="dxa"/>
              <w:left w:w="100" w:type="dxa"/>
              <w:bottom w:w="100" w:type="dxa"/>
              <w:right w:w="100" w:type="dxa"/>
            </w:tcMar>
            <w:vAlign w:val="center"/>
          </w:tcPr>
          <w:p w14:paraId="394280BC" w14:textId="77777777" w:rsidR="00461546" w:rsidRPr="00FB0889" w:rsidRDefault="00FB0889">
            <w:pPr>
              <w:widowControl w:val="0"/>
              <w:spacing w:line="360" w:lineRule="auto"/>
              <w:jc w:val="both"/>
              <w:rPr>
                <w:sz w:val="18"/>
                <w:szCs w:val="18"/>
                <w:lang w:val="es-MX"/>
              </w:rPr>
            </w:pPr>
            <w:r w:rsidRPr="00FB0889">
              <w:rPr>
                <w:sz w:val="18"/>
                <w:szCs w:val="18"/>
                <w:lang w:val="es-MX"/>
              </w:rPr>
              <w:t>2.1. Desarrollo de la matriz de especificaciones</w:t>
            </w:r>
          </w:p>
        </w:tc>
      </w:tr>
      <w:tr w:rsidR="00461546" w:rsidRPr="00181DD1" w14:paraId="7C2DA070" w14:textId="77777777" w:rsidTr="00FB0889">
        <w:trPr>
          <w:trHeight w:val="480"/>
        </w:trPr>
        <w:tc>
          <w:tcPr>
            <w:tcW w:w="1695" w:type="dxa"/>
            <w:vMerge/>
            <w:shd w:val="clear" w:color="auto" w:fill="auto"/>
            <w:tcMar>
              <w:top w:w="100" w:type="dxa"/>
              <w:left w:w="100" w:type="dxa"/>
              <w:bottom w:w="100" w:type="dxa"/>
              <w:right w:w="100" w:type="dxa"/>
            </w:tcMar>
            <w:vAlign w:val="center"/>
          </w:tcPr>
          <w:p w14:paraId="1C96C9C5" w14:textId="77777777" w:rsidR="00461546" w:rsidRPr="00FB0889" w:rsidRDefault="00461546">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5FC74EF9" w14:textId="77777777" w:rsidR="00461546" w:rsidRPr="00FB0889" w:rsidRDefault="00FB0889">
            <w:pPr>
              <w:widowControl w:val="0"/>
              <w:spacing w:line="360" w:lineRule="auto"/>
              <w:jc w:val="both"/>
              <w:rPr>
                <w:sz w:val="18"/>
                <w:szCs w:val="18"/>
                <w:lang w:val="es-MX"/>
              </w:rPr>
            </w:pPr>
            <w:r w:rsidRPr="00FB0889">
              <w:rPr>
                <w:sz w:val="18"/>
                <w:szCs w:val="18"/>
                <w:lang w:val="es-MX"/>
              </w:rPr>
              <w:t>2.2. Elaborar las primeras versiones de los ítems</w:t>
            </w:r>
          </w:p>
        </w:tc>
      </w:tr>
      <w:tr w:rsidR="00461546" w:rsidRPr="00181DD1" w14:paraId="24D56405" w14:textId="77777777" w:rsidTr="00FB0889">
        <w:trPr>
          <w:trHeight w:val="480"/>
        </w:trPr>
        <w:tc>
          <w:tcPr>
            <w:tcW w:w="1695" w:type="dxa"/>
            <w:vMerge/>
            <w:shd w:val="clear" w:color="auto" w:fill="auto"/>
            <w:tcMar>
              <w:top w:w="100" w:type="dxa"/>
              <w:left w:w="100" w:type="dxa"/>
              <w:bottom w:w="100" w:type="dxa"/>
              <w:right w:w="100" w:type="dxa"/>
            </w:tcMar>
            <w:vAlign w:val="center"/>
          </w:tcPr>
          <w:p w14:paraId="7D70DDCC" w14:textId="77777777" w:rsidR="00461546" w:rsidRPr="00FB0889" w:rsidRDefault="00461546">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6DF9D7B6" w14:textId="77777777" w:rsidR="00461546" w:rsidRPr="00FB0889" w:rsidRDefault="00FB0889">
            <w:pPr>
              <w:widowControl w:val="0"/>
              <w:spacing w:line="360" w:lineRule="auto"/>
              <w:jc w:val="both"/>
              <w:rPr>
                <w:sz w:val="18"/>
                <w:szCs w:val="18"/>
                <w:lang w:val="es-MX"/>
              </w:rPr>
            </w:pPr>
            <w:r w:rsidRPr="00FB0889">
              <w:rPr>
                <w:sz w:val="18"/>
                <w:szCs w:val="18"/>
                <w:lang w:val="es-MX"/>
              </w:rPr>
              <w:t>2.3. Crear el Comité de Expertos para la Validación del Desarrollo de los Ítems (CVEDEI)</w:t>
            </w:r>
          </w:p>
        </w:tc>
      </w:tr>
      <w:tr w:rsidR="00461546" w:rsidRPr="00181DD1" w14:paraId="35F7E365" w14:textId="77777777" w:rsidTr="00FB0889">
        <w:trPr>
          <w:trHeight w:val="480"/>
        </w:trPr>
        <w:tc>
          <w:tcPr>
            <w:tcW w:w="1695" w:type="dxa"/>
            <w:vMerge/>
            <w:shd w:val="clear" w:color="auto" w:fill="auto"/>
            <w:tcMar>
              <w:top w:w="100" w:type="dxa"/>
              <w:left w:w="100" w:type="dxa"/>
              <w:bottom w:w="100" w:type="dxa"/>
              <w:right w:w="100" w:type="dxa"/>
            </w:tcMar>
            <w:vAlign w:val="center"/>
          </w:tcPr>
          <w:p w14:paraId="296AD3E2" w14:textId="77777777" w:rsidR="00461546" w:rsidRPr="00FB0889" w:rsidRDefault="00461546">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024F4432" w14:textId="77777777" w:rsidR="00461546" w:rsidRPr="00FB0889" w:rsidRDefault="00FB0889">
            <w:pPr>
              <w:widowControl w:val="0"/>
              <w:spacing w:line="360" w:lineRule="auto"/>
              <w:jc w:val="both"/>
              <w:rPr>
                <w:sz w:val="18"/>
                <w:szCs w:val="18"/>
                <w:lang w:val="es-MX"/>
              </w:rPr>
            </w:pPr>
            <w:r w:rsidRPr="00FB0889">
              <w:rPr>
                <w:sz w:val="18"/>
                <w:szCs w:val="18"/>
                <w:lang w:val="es-MX"/>
              </w:rPr>
              <w:t>2.4.Someter las primeras versiones de los ítems a revisión por el CVEDEI</w:t>
            </w:r>
          </w:p>
        </w:tc>
      </w:tr>
      <w:tr w:rsidR="00461546" w:rsidRPr="00181DD1" w14:paraId="2619EA05" w14:textId="77777777" w:rsidTr="00FB0889">
        <w:trPr>
          <w:trHeight w:val="480"/>
        </w:trPr>
        <w:tc>
          <w:tcPr>
            <w:tcW w:w="1695" w:type="dxa"/>
            <w:vMerge/>
            <w:shd w:val="clear" w:color="auto" w:fill="auto"/>
            <w:tcMar>
              <w:top w:w="100" w:type="dxa"/>
              <w:left w:w="100" w:type="dxa"/>
              <w:bottom w:w="100" w:type="dxa"/>
              <w:right w:w="100" w:type="dxa"/>
            </w:tcMar>
            <w:vAlign w:val="center"/>
          </w:tcPr>
          <w:p w14:paraId="01DB5A23" w14:textId="77777777" w:rsidR="00461546" w:rsidRPr="00FB0889" w:rsidRDefault="00461546">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571D9CEC" w14:textId="77777777" w:rsidR="00461546" w:rsidRPr="00FB0889" w:rsidRDefault="00FB0889">
            <w:pPr>
              <w:widowControl w:val="0"/>
              <w:spacing w:line="360" w:lineRule="auto"/>
              <w:jc w:val="both"/>
              <w:rPr>
                <w:sz w:val="18"/>
                <w:szCs w:val="18"/>
                <w:lang w:val="es-MX"/>
              </w:rPr>
            </w:pPr>
            <w:r w:rsidRPr="00FB0889">
              <w:rPr>
                <w:sz w:val="18"/>
                <w:szCs w:val="18"/>
                <w:lang w:val="es-MX"/>
              </w:rPr>
              <w:t>2.5. Ajustar los ítems con base en la valoración de los ítems y la retroalimentación otorgada por el CVEDEI.</w:t>
            </w:r>
          </w:p>
        </w:tc>
      </w:tr>
      <w:tr w:rsidR="00461546" w:rsidRPr="00181DD1" w14:paraId="1EB67358" w14:textId="77777777" w:rsidTr="00FB0889">
        <w:trPr>
          <w:trHeight w:val="440"/>
        </w:trPr>
        <w:tc>
          <w:tcPr>
            <w:tcW w:w="1695" w:type="dxa"/>
            <w:vMerge/>
            <w:shd w:val="clear" w:color="auto" w:fill="auto"/>
            <w:tcMar>
              <w:top w:w="100" w:type="dxa"/>
              <w:left w:w="100" w:type="dxa"/>
              <w:bottom w:w="100" w:type="dxa"/>
              <w:right w:w="100" w:type="dxa"/>
            </w:tcMar>
            <w:vAlign w:val="center"/>
          </w:tcPr>
          <w:p w14:paraId="4B339BF4" w14:textId="77777777" w:rsidR="00461546" w:rsidRPr="00FB0889" w:rsidRDefault="00461546">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15F2CD30" w14:textId="77777777" w:rsidR="00461546" w:rsidRPr="00FB0889" w:rsidRDefault="00FB0889">
            <w:pPr>
              <w:widowControl w:val="0"/>
              <w:spacing w:line="360" w:lineRule="auto"/>
              <w:jc w:val="both"/>
              <w:rPr>
                <w:sz w:val="18"/>
                <w:szCs w:val="18"/>
                <w:lang w:val="es-MX"/>
              </w:rPr>
            </w:pPr>
            <w:r w:rsidRPr="00FB0889">
              <w:rPr>
                <w:sz w:val="18"/>
                <w:szCs w:val="18"/>
                <w:lang w:val="es-MX"/>
              </w:rPr>
              <w:t>2.6. Ensamblar las primeras versiones del instrumento para el piloteo.</w:t>
            </w:r>
          </w:p>
        </w:tc>
      </w:tr>
      <w:tr w:rsidR="00461546" w:rsidRPr="00181DD1" w14:paraId="783B7B29" w14:textId="77777777" w:rsidTr="00FB0889">
        <w:trPr>
          <w:trHeight w:val="440"/>
        </w:trPr>
        <w:tc>
          <w:tcPr>
            <w:tcW w:w="1695" w:type="dxa"/>
            <w:vMerge w:val="restart"/>
            <w:vAlign w:val="center"/>
          </w:tcPr>
          <w:p w14:paraId="5873C6B1" w14:textId="77777777" w:rsidR="00461546" w:rsidRDefault="00FB0889">
            <w:pPr>
              <w:widowControl w:val="0"/>
              <w:spacing w:line="360" w:lineRule="auto"/>
              <w:jc w:val="center"/>
              <w:rPr>
                <w:sz w:val="18"/>
                <w:szCs w:val="18"/>
              </w:rPr>
            </w:pPr>
            <w:r>
              <w:rPr>
                <w:sz w:val="18"/>
                <w:szCs w:val="18"/>
              </w:rPr>
              <w:t>III, Validación</w:t>
            </w:r>
          </w:p>
        </w:tc>
        <w:tc>
          <w:tcPr>
            <w:tcW w:w="7126" w:type="dxa"/>
            <w:shd w:val="clear" w:color="auto" w:fill="auto"/>
            <w:tcMar>
              <w:top w:w="100" w:type="dxa"/>
              <w:left w:w="100" w:type="dxa"/>
              <w:bottom w:w="100" w:type="dxa"/>
              <w:right w:w="100" w:type="dxa"/>
            </w:tcMar>
            <w:vAlign w:val="center"/>
          </w:tcPr>
          <w:p w14:paraId="6C9A5854" w14:textId="77777777" w:rsidR="00461546" w:rsidRPr="00FB0889" w:rsidRDefault="00FB0889">
            <w:pPr>
              <w:widowControl w:val="0"/>
              <w:spacing w:line="360" w:lineRule="auto"/>
              <w:jc w:val="both"/>
              <w:rPr>
                <w:sz w:val="18"/>
                <w:szCs w:val="18"/>
                <w:lang w:val="es-MX"/>
              </w:rPr>
            </w:pPr>
            <w:r w:rsidRPr="00FB0889">
              <w:rPr>
                <w:sz w:val="18"/>
                <w:szCs w:val="18"/>
                <w:lang w:val="es-MX"/>
              </w:rPr>
              <w:t>3.5. Definir la muestra de participantes para el piloteo de la prueba.</w:t>
            </w:r>
          </w:p>
        </w:tc>
      </w:tr>
      <w:tr w:rsidR="00461546" w:rsidRPr="00181DD1" w14:paraId="7840B3EC" w14:textId="77777777" w:rsidTr="00FB0889">
        <w:trPr>
          <w:trHeight w:val="440"/>
        </w:trPr>
        <w:tc>
          <w:tcPr>
            <w:tcW w:w="1695" w:type="dxa"/>
            <w:vMerge/>
            <w:shd w:val="clear" w:color="auto" w:fill="auto"/>
            <w:tcMar>
              <w:top w:w="100" w:type="dxa"/>
              <w:left w:w="100" w:type="dxa"/>
              <w:bottom w:w="100" w:type="dxa"/>
              <w:right w:w="100" w:type="dxa"/>
            </w:tcMar>
            <w:vAlign w:val="center"/>
          </w:tcPr>
          <w:p w14:paraId="1CF0BC6C" w14:textId="77777777" w:rsidR="00461546" w:rsidRPr="00FB0889" w:rsidRDefault="00461546">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5A793DB2" w14:textId="77777777" w:rsidR="00461546" w:rsidRPr="00FB0889" w:rsidRDefault="00FB0889">
            <w:pPr>
              <w:spacing w:before="240" w:after="240"/>
              <w:rPr>
                <w:sz w:val="18"/>
                <w:szCs w:val="18"/>
                <w:lang w:val="es-MX"/>
              </w:rPr>
            </w:pPr>
            <w:r w:rsidRPr="00FB0889">
              <w:rPr>
                <w:sz w:val="18"/>
                <w:szCs w:val="18"/>
                <w:lang w:val="es-MX"/>
              </w:rPr>
              <w:t>3.6. Reclutar, seleccionar y capacitar a los aplicadores del piloteo.</w:t>
            </w:r>
          </w:p>
        </w:tc>
      </w:tr>
      <w:tr w:rsidR="00461546" w:rsidRPr="00181DD1" w14:paraId="2E79CCF4" w14:textId="77777777" w:rsidTr="00FB0889">
        <w:trPr>
          <w:trHeight w:val="440"/>
        </w:trPr>
        <w:tc>
          <w:tcPr>
            <w:tcW w:w="1695" w:type="dxa"/>
            <w:vMerge/>
            <w:shd w:val="clear" w:color="auto" w:fill="auto"/>
            <w:tcMar>
              <w:top w:w="100" w:type="dxa"/>
              <w:left w:w="100" w:type="dxa"/>
              <w:bottom w:w="100" w:type="dxa"/>
              <w:right w:w="100" w:type="dxa"/>
            </w:tcMar>
            <w:vAlign w:val="center"/>
          </w:tcPr>
          <w:p w14:paraId="654351E7" w14:textId="77777777" w:rsidR="00461546" w:rsidRPr="00FB0889" w:rsidRDefault="00461546">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62A9FDC8" w14:textId="77777777" w:rsidR="00461546" w:rsidRPr="00FB0889" w:rsidRDefault="00FB0889">
            <w:pPr>
              <w:spacing w:before="240" w:after="240"/>
              <w:rPr>
                <w:sz w:val="18"/>
                <w:szCs w:val="18"/>
                <w:lang w:val="es-MX"/>
              </w:rPr>
            </w:pPr>
            <w:r w:rsidRPr="00FB0889">
              <w:rPr>
                <w:sz w:val="18"/>
                <w:szCs w:val="18"/>
                <w:lang w:val="es-MX"/>
              </w:rPr>
              <w:t>3.7. Realizar la aplicación piloto del instrumento</w:t>
            </w:r>
          </w:p>
        </w:tc>
      </w:tr>
      <w:tr w:rsidR="00461546" w:rsidRPr="00181DD1" w14:paraId="572B1C53" w14:textId="77777777" w:rsidTr="00FB0889">
        <w:trPr>
          <w:trHeight w:val="440"/>
        </w:trPr>
        <w:tc>
          <w:tcPr>
            <w:tcW w:w="1695" w:type="dxa"/>
            <w:vMerge/>
            <w:shd w:val="clear" w:color="auto" w:fill="auto"/>
            <w:tcMar>
              <w:top w:w="100" w:type="dxa"/>
              <w:left w:w="100" w:type="dxa"/>
              <w:bottom w:w="100" w:type="dxa"/>
              <w:right w:w="100" w:type="dxa"/>
            </w:tcMar>
            <w:vAlign w:val="center"/>
          </w:tcPr>
          <w:p w14:paraId="11B88AAE" w14:textId="77777777" w:rsidR="00461546" w:rsidRPr="00FB0889" w:rsidRDefault="00461546">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6FACE71C" w14:textId="77777777" w:rsidR="00461546" w:rsidRPr="00FB0889" w:rsidRDefault="00FB0889">
            <w:pPr>
              <w:spacing w:before="240" w:after="240"/>
              <w:rPr>
                <w:sz w:val="18"/>
                <w:szCs w:val="18"/>
                <w:lang w:val="es-MX"/>
              </w:rPr>
            </w:pPr>
            <w:r w:rsidRPr="00FB0889">
              <w:rPr>
                <w:sz w:val="18"/>
                <w:szCs w:val="18"/>
                <w:lang w:val="es-MX"/>
              </w:rPr>
              <w:t>3.8. Recolectar y codificar las respuestas de los participantes del piloteo.</w:t>
            </w:r>
          </w:p>
        </w:tc>
      </w:tr>
      <w:tr w:rsidR="00461546" w:rsidRPr="00181DD1" w14:paraId="2F31D587" w14:textId="77777777" w:rsidTr="00FB0889">
        <w:trPr>
          <w:trHeight w:val="440"/>
        </w:trPr>
        <w:tc>
          <w:tcPr>
            <w:tcW w:w="1695" w:type="dxa"/>
            <w:vMerge/>
            <w:shd w:val="clear" w:color="auto" w:fill="auto"/>
            <w:tcMar>
              <w:top w:w="100" w:type="dxa"/>
              <w:left w:w="100" w:type="dxa"/>
              <w:bottom w:w="100" w:type="dxa"/>
              <w:right w:w="100" w:type="dxa"/>
            </w:tcMar>
            <w:vAlign w:val="center"/>
          </w:tcPr>
          <w:p w14:paraId="2BEA7F6F" w14:textId="77777777" w:rsidR="00461546" w:rsidRPr="00FB0889" w:rsidRDefault="00461546">
            <w:pPr>
              <w:widowControl w:val="0"/>
              <w:rPr>
                <w:sz w:val="18"/>
                <w:szCs w:val="18"/>
                <w:lang w:val="es-MX"/>
              </w:rPr>
            </w:pPr>
          </w:p>
        </w:tc>
        <w:tc>
          <w:tcPr>
            <w:tcW w:w="7126" w:type="dxa"/>
            <w:shd w:val="clear" w:color="auto" w:fill="auto"/>
            <w:tcMar>
              <w:top w:w="100" w:type="dxa"/>
              <w:left w:w="100" w:type="dxa"/>
              <w:bottom w:w="100" w:type="dxa"/>
              <w:right w:w="100" w:type="dxa"/>
            </w:tcMar>
            <w:vAlign w:val="center"/>
          </w:tcPr>
          <w:p w14:paraId="5E2792A6" w14:textId="77777777" w:rsidR="00461546" w:rsidRPr="00FB0889" w:rsidRDefault="00FB0889">
            <w:pPr>
              <w:widowControl w:val="0"/>
              <w:spacing w:line="360" w:lineRule="auto"/>
              <w:jc w:val="both"/>
              <w:rPr>
                <w:sz w:val="18"/>
                <w:szCs w:val="18"/>
                <w:lang w:val="es-MX"/>
              </w:rPr>
            </w:pPr>
            <w:r w:rsidRPr="00FB0889">
              <w:rPr>
                <w:sz w:val="18"/>
                <w:szCs w:val="18"/>
                <w:lang w:val="es-MX"/>
              </w:rPr>
              <w:t>3.9 Realizar análisis preliminares sobre las respuestas recopiladas y estimar indicadores psicométricos derivados de la Teoría Clásica de los Test</w:t>
            </w:r>
          </w:p>
        </w:tc>
      </w:tr>
    </w:tbl>
    <w:p w14:paraId="25D9731D" w14:textId="77777777" w:rsidR="00461546" w:rsidRPr="00FB0889" w:rsidRDefault="00461546">
      <w:pPr>
        <w:spacing w:after="160" w:line="360" w:lineRule="auto"/>
        <w:ind w:left="141"/>
        <w:jc w:val="both"/>
        <w:rPr>
          <w:b/>
          <w:sz w:val="24"/>
          <w:szCs w:val="24"/>
          <w:lang w:val="es-MX"/>
        </w:rPr>
      </w:pPr>
    </w:p>
    <w:p w14:paraId="3EC38183" w14:textId="77777777" w:rsidR="00461546" w:rsidRPr="00FB0889" w:rsidRDefault="00FB0889">
      <w:pPr>
        <w:spacing w:after="160" w:line="360" w:lineRule="auto"/>
        <w:jc w:val="both"/>
        <w:rPr>
          <w:b/>
          <w:sz w:val="24"/>
          <w:szCs w:val="24"/>
          <w:lang w:val="es-MX"/>
        </w:rPr>
      </w:pPr>
      <w:r w:rsidRPr="00FB0889">
        <w:rPr>
          <w:b/>
          <w:sz w:val="24"/>
          <w:szCs w:val="24"/>
          <w:lang w:val="es-MX"/>
        </w:rPr>
        <w:t>2.2.1. Fase de Diseño</w:t>
      </w:r>
    </w:p>
    <w:p w14:paraId="6D4C598D" w14:textId="77777777" w:rsidR="00461546" w:rsidRPr="00FB0889" w:rsidRDefault="00FB0889">
      <w:pPr>
        <w:spacing w:before="200" w:line="360" w:lineRule="auto"/>
        <w:ind w:left="283"/>
        <w:jc w:val="both"/>
        <w:rPr>
          <w:sz w:val="24"/>
          <w:szCs w:val="24"/>
          <w:lang w:val="es-MX"/>
        </w:rPr>
      </w:pPr>
      <w:r w:rsidRPr="00FB0889">
        <w:rPr>
          <w:sz w:val="24"/>
          <w:szCs w:val="24"/>
          <w:lang w:val="es-MX"/>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251463B2" w14:textId="77777777" w:rsidR="00461546" w:rsidRPr="00FB0889" w:rsidRDefault="00FB0889">
      <w:pPr>
        <w:spacing w:before="200" w:line="360" w:lineRule="auto"/>
        <w:ind w:left="283"/>
        <w:jc w:val="both"/>
        <w:rPr>
          <w:sz w:val="24"/>
          <w:szCs w:val="24"/>
          <w:lang w:val="es-MX"/>
        </w:rPr>
      </w:pPr>
      <w:r w:rsidRPr="00FB0889">
        <w:rPr>
          <w:sz w:val="24"/>
          <w:szCs w:val="24"/>
          <w:lang w:val="es-MX"/>
        </w:rPr>
        <w:lastRenderedPageBreak/>
        <w:t xml:space="preserve">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1A4165AE" w14:textId="77777777" w:rsidR="00461546" w:rsidRPr="00FB0889" w:rsidRDefault="00FB0889">
      <w:pPr>
        <w:spacing w:before="200" w:line="360" w:lineRule="auto"/>
        <w:ind w:left="283"/>
        <w:jc w:val="both"/>
        <w:rPr>
          <w:sz w:val="24"/>
          <w:szCs w:val="24"/>
          <w:lang w:val="es-MX"/>
        </w:rPr>
      </w:pPr>
      <w:r w:rsidRPr="00FB0889">
        <w:rPr>
          <w:sz w:val="24"/>
          <w:szCs w:val="24"/>
          <w:lang w:val="es-MX"/>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59E678A9" w14:textId="77777777" w:rsidR="00461546" w:rsidRPr="00FB0889" w:rsidRDefault="00FB0889">
      <w:pPr>
        <w:spacing w:before="200" w:line="360" w:lineRule="auto"/>
        <w:ind w:left="283"/>
        <w:jc w:val="both"/>
        <w:rPr>
          <w:sz w:val="24"/>
          <w:szCs w:val="24"/>
          <w:shd w:val="clear" w:color="auto" w:fill="C9DAF8"/>
          <w:lang w:val="es-MX"/>
        </w:rPr>
      </w:pPr>
      <w:r w:rsidRPr="00FB0889">
        <w:rPr>
          <w:sz w:val="24"/>
          <w:szCs w:val="24"/>
          <w:lang w:val="es-MX"/>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79AFCAED" w14:textId="77777777" w:rsidR="00461546" w:rsidRPr="00FB0889" w:rsidRDefault="00FB0889">
      <w:pPr>
        <w:spacing w:before="200" w:line="360" w:lineRule="auto"/>
        <w:ind w:left="283"/>
        <w:jc w:val="both"/>
        <w:rPr>
          <w:sz w:val="24"/>
          <w:szCs w:val="24"/>
          <w:lang w:val="es-MX"/>
        </w:rPr>
      </w:pPr>
      <w:r w:rsidRPr="00FB0889">
        <w:rPr>
          <w:sz w:val="24"/>
          <w:szCs w:val="24"/>
          <w:lang w:val="es-MX"/>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6808D6A3" w14:textId="77777777" w:rsidR="00461546" w:rsidRPr="00FB0889" w:rsidRDefault="00461546">
      <w:pPr>
        <w:spacing w:before="200" w:line="360" w:lineRule="auto"/>
        <w:jc w:val="both"/>
        <w:rPr>
          <w:sz w:val="24"/>
          <w:szCs w:val="24"/>
          <w:lang w:val="es-MX"/>
        </w:rPr>
      </w:pPr>
    </w:p>
    <w:p w14:paraId="361F24D3" w14:textId="77777777" w:rsidR="00461546" w:rsidRPr="00FB0889" w:rsidRDefault="00FB0889">
      <w:pPr>
        <w:spacing w:after="160" w:line="360" w:lineRule="auto"/>
        <w:jc w:val="both"/>
        <w:rPr>
          <w:b/>
          <w:sz w:val="24"/>
          <w:szCs w:val="24"/>
          <w:lang w:val="es-MX"/>
        </w:rPr>
      </w:pPr>
      <w:r w:rsidRPr="00FB0889">
        <w:rPr>
          <w:b/>
          <w:sz w:val="24"/>
          <w:szCs w:val="24"/>
          <w:lang w:val="es-MX"/>
        </w:rPr>
        <w:t>2.2.2. Fase de Desarrollo</w:t>
      </w:r>
    </w:p>
    <w:p w14:paraId="63D484EC" w14:textId="77777777" w:rsidR="00461546" w:rsidRPr="00FB0889" w:rsidRDefault="00FB0889">
      <w:pPr>
        <w:spacing w:after="160" w:line="360" w:lineRule="auto"/>
        <w:ind w:left="283"/>
        <w:jc w:val="both"/>
        <w:rPr>
          <w:sz w:val="24"/>
          <w:szCs w:val="24"/>
          <w:lang w:val="es-MX"/>
        </w:rPr>
      </w:pPr>
      <w:r w:rsidRPr="00FB0889">
        <w:rPr>
          <w:sz w:val="24"/>
          <w:szCs w:val="24"/>
          <w:lang w:val="es-MX"/>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(Bejar, 2002) también conocidos como representaciones del constructo (Embretson, 2002) se han vuelto un referente estándar, tanto en términos teóricos como prácticos, de alta calidad técnica. Los ítems que componen la Encuesta de percepción sobre el trabajo directivo y aportaciones al colectivo escolar</w:t>
      </w:r>
      <w:r w:rsidRPr="00FB0889">
        <w:rPr>
          <w:lang w:val="es-MX"/>
        </w:rPr>
        <w:t xml:space="preserve"> </w:t>
      </w:r>
      <w:r w:rsidRPr="00FB0889">
        <w:rPr>
          <w:sz w:val="24"/>
          <w:szCs w:val="24"/>
          <w:lang w:val="es-MX"/>
        </w:rPr>
        <w:t>deben de ser congruentes a los dominios,criterios e indicadores y capturar las habilidades y destrezas que se definen en los perfiles profesionales publicados por la SEP (SEP, 2019).</w:t>
      </w:r>
    </w:p>
    <w:p w14:paraId="6AFC3C81" w14:textId="77777777" w:rsidR="00461546" w:rsidRPr="00FB0889" w:rsidRDefault="00FB0889">
      <w:pPr>
        <w:spacing w:after="160" w:line="360" w:lineRule="auto"/>
        <w:ind w:left="283"/>
        <w:jc w:val="both"/>
        <w:rPr>
          <w:sz w:val="24"/>
          <w:szCs w:val="24"/>
          <w:lang w:val="es-MX"/>
        </w:rPr>
      </w:pPr>
      <w:r w:rsidRPr="00FB0889">
        <w:rPr>
          <w:sz w:val="24"/>
          <w:szCs w:val="24"/>
          <w:lang w:val="es-MX"/>
        </w:rPr>
        <w:t xml:space="preserve">En el caso particular de la Encuesta de percepción sobre el trabajo directivo y aportaciones al colectivo escolar,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Koretz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69AA1AD8" w14:textId="77777777" w:rsidR="00461546" w:rsidRPr="00FB0889" w:rsidRDefault="00FB0889">
      <w:pPr>
        <w:spacing w:after="160" w:line="360" w:lineRule="auto"/>
        <w:ind w:left="283"/>
        <w:jc w:val="both"/>
        <w:rPr>
          <w:sz w:val="24"/>
          <w:szCs w:val="24"/>
          <w:lang w:val="es-MX"/>
        </w:rPr>
      </w:pPr>
      <w:r w:rsidRPr="00FB0889">
        <w:rPr>
          <w:sz w:val="24"/>
          <w:szCs w:val="24"/>
          <w:lang w:val="es-MX"/>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3DD4C595" w14:textId="77777777" w:rsidR="00461546" w:rsidRPr="00FB0889" w:rsidRDefault="00461546">
      <w:pPr>
        <w:spacing w:after="160" w:line="360" w:lineRule="auto"/>
        <w:ind w:left="283"/>
        <w:jc w:val="both"/>
        <w:rPr>
          <w:sz w:val="24"/>
          <w:szCs w:val="24"/>
          <w:lang w:val="es-MX"/>
        </w:rPr>
      </w:pPr>
    </w:p>
    <w:p w14:paraId="26ACBB4C" w14:textId="77777777" w:rsidR="00461546" w:rsidRPr="00FB0889" w:rsidRDefault="00FB0889">
      <w:pPr>
        <w:spacing w:after="160" w:line="360" w:lineRule="auto"/>
        <w:jc w:val="both"/>
        <w:rPr>
          <w:b/>
          <w:sz w:val="24"/>
          <w:szCs w:val="24"/>
          <w:lang w:val="es-MX"/>
        </w:rPr>
      </w:pPr>
      <w:r w:rsidRPr="00FB0889">
        <w:rPr>
          <w:b/>
          <w:sz w:val="24"/>
          <w:szCs w:val="24"/>
          <w:lang w:val="es-MX"/>
        </w:rPr>
        <w:t>2.2.3 Fase de Validación</w:t>
      </w:r>
    </w:p>
    <w:p w14:paraId="4B9A281A" w14:textId="77777777" w:rsidR="00461546" w:rsidRPr="00FB0889" w:rsidRDefault="00FB0889">
      <w:pPr>
        <w:spacing w:before="240" w:after="240" w:line="360" w:lineRule="auto"/>
        <w:ind w:left="283"/>
        <w:jc w:val="both"/>
        <w:rPr>
          <w:sz w:val="24"/>
          <w:szCs w:val="24"/>
          <w:lang w:val="es-MX"/>
        </w:rPr>
      </w:pPr>
      <w:r w:rsidRPr="00FB0889">
        <w:rPr>
          <w:sz w:val="24"/>
          <w:szCs w:val="24"/>
          <w:lang w:val="es-MX"/>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740150F2" w14:textId="77777777" w:rsidR="00461546" w:rsidRPr="00FB0889" w:rsidRDefault="00FB0889">
      <w:pPr>
        <w:spacing w:after="160" w:line="360" w:lineRule="auto"/>
        <w:ind w:left="283"/>
        <w:jc w:val="both"/>
        <w:rPr>
          <w:sz w:val="24"/>
          <w:szCs w:val="24"/>
          <w:lang w:val="es-MX"/>
        </w:rPr>
      </w:pPr>
      <w:r w:rsidRPr="00FB0889">
        <w:rPr>
          <w:sz w:val="24"/>
          <w:szCs w:val="24"/>
          <w:lang w:val="es-MX"/>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sidRPr="00FB0889">
        <w:rPr>
          <w:color w:val="222222"/>
          <w:sz w:val="24"/>
          <w:szCs w:val="24"/>
          <w:lang w:val="es-MX"/>
        </w:rPr>
        <w:t xml:space="preserve">AERA, APA y NCME, </w:t>
      </w:r>
      <w:r w:rsidRPr="00FB0889">
        <w:rPr>
          <w:sz w:val="24"/>
          <w:szCs w:val="24"/>
          <w:lang w:val="es-MX"/>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718B5C81" w14:textId="77777777" w:rsidR="00461546" w:rsidRPr="00FB0889" w:rsidRDefault="00FB0889">
      <w:pPr>
        <w:spacing w:after="160" w:line="360" w:lineRule="auto"/>
        <w:ind w:left="283"/>
        <w:jc w:val="both"/>
        <w:rPr>
          <w:sz w:val="24"/>
          <w:szCs w:val="24"/>
          <w:lang w:val="es-MX"/>
        </w:rPr>
      </w:pPr>
      <w:r w:rsidRPr="00FB0889">
        <w:rPr>
          <w:sz w:val="24"/>
          <w:szCs w:val="24"/>
          <w:lang w:val="es-MX"/>
        </w:rPr>
        <w:t xml:space="preserve">Distintos métodos de validación se han propuesto en la literatura, entre ellos el método argumentativo de Kane (1992; 2015) el cual plantea una que toda validación comienza con la generación de un </w:t>
      </w:r>
      <w:r w:rsidRPr="00FB0889">
        <w:rPr>
          <w:i/>
          <w:sz w:val="24"/>
          <w:szCs w:val="24"/>
          <w:lang w:val="es-MX"/>
        </w:rPr>
        <w:t>Argumento de interpretaciones/usos (AIU)</w:t>
      </w:r>
      <w:r w:rsidRPr="00FB0889">
        <w:rPr>
          <w:sz w:val="24"/>
          <w:szCs w:val="24"/>
          <w:lang w:val="es-MX"/>
        </w:rPr>
        <w:t xml:space="preserve"> en donde se especifica toda la red de supuestos e inferencias que llevan del desempeño de los evaluando en la prueba a las conclusiones y decisiones basadas en los resultados. </w:t>
      </w:r>
      <w:r w:rsidRPr="00FB0889">
        <w:rPr>
          <w:sz w:val="24"/>
          <w:szCs w:val="24"/>
          <w:lang w:val="es-MX"/>
        </w:rPr>
        <w:lastRenderedPageBreak/>
        <w:t xml:space="preserve">Este argumento de interpretaciones/usos denota un marco de referencia para la validación, especificando qué se está afirmando y bajo qué condiciones teóricas y metodológicas. Posteriormente, se genera el </w:t>
      </w:r>
      <w:r w:rsidRPr="00FB0889">
        <w:rPr>
          <w:i/>
          <w:sz w:val="24"/>
          <w:szCs w:val="24"/>
          <w:lang w:val="es-MX"/>
        </w:rPr>
        <w:t xml:space="preserve">Argumento de Validez </w:t>
      </w:r>
      <w:r w:rsidRPr="00FB0889">
        <w:rPr>
          <w:sz w:val="24"/>
          <w:szCs w:val="24"/>
          <w:lang w:val="es-MX"/>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0A68C62A" w14:textId="77777777" w:rsidR="00461546" w:rsidRPr="00FB0889" w:rsidRDefault="00FB0889">
      <w:pPr>
        <w:spacing w:before="240" w:after="240" w:line="360" w:lineRule="auto"/>
        <w:ind w:left="283"/>
        <w:jc w:val="both"/>
        <w:rPr>
          <w:sz w:val="24"/>
          <w:szCs w:val="24"/>
          <w:shd w:val="clear" w:color="auto" w:fill="D9EAD3"/>
          <w:lang w:val="es-MX"/>
        </w:rPr>
      </w:pPr>
      <w:r w:rsidRPr="00FB0889">
        <w:rPr>
          <w:sz w:val="24"/>
          <w:szCs w:val="24"/>
          <w:lang w:val="es-MX"/>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7086F220" w14:textId="77777777" w:rsidR="00461546" w:rsidRPr="00FB0889" w:rsidRDefault="00461546">
      <w:pPr>
        <w:spacing w:before="240" w:after="240" w:line="360" w:lineRule="auto"/>
        <w:ind w:left="425" w:firstLine="294"/>
        <w:jc w:val="both"/>
        <w:rPr>
          <w:sz w:val="24"/>
          <w:szCs w:val="24"/>
          <w:lang w:val="es-MX"/>
        </w:rPr>
      </w:pPr>
    </w:p>
    <w:p w14:paraId="0403B0A9" w14:textId="77777777" w:rsidR="00461546" w:rsidRPr="00FB0889" w:rsidRDefault="00461546">
      <w:pPr>
        <w:spacing w:after="160" w:line="360" w:lineRule="auto"/>
        <w:jc w:val="both"/>
        <w:rPr>
          <w:b/>
          <w:sz w:val="24"/>
          <w:szCs w:val="24"/>
          <w:lang w:val="es-MX"/>
        </w:rPr>
      </w:pPr>
    </w:p>
    <w:p w14:paraId="1C9D00C3" w14:textId="77777777" w:rsidR="00461546" w:rsidRPr="00FB0889" w:rsidRDefault="00461546">
      <w:pPr>
        <w:spacing w:after="160" w:line="360" w:lineRule="auto"/>
        <w:jc w:val="both"/>
        <w:rPr>
          <w:b/>
          <w:sz w:val="30"/>
          <w:szCs w:val="30"/>
          <w:lang w:val="es-MX"/>
        </w:rPr>
      </w:pPr>
    </w:p>
    <w:p w14:paraId="4E33099D" w14:textId="77777777" w:rsidR="00461546" w:rsidRPr="00FB0889" w:rsidRDefault="00461546">
      <w:pPr>
        <w:spacing w:after="160" w:line="360" w:lineRule="auto"/>
        <w:jc w:val="both"/>
        <w:rPr>
          <w:b/>
          <w:sz w:val="30"/>
          <w:szCs w:val="30"/>
          <w:lang w:val="es-MX"/>
        </w:rPr>
      </w:pPr>
    </w:p>
    <w:p w14:paraId="17049E89" w14:textId="77777777" w:rsidR="00461546" w:rsidRPr="00FB0889" w:rsidRDefault="00461546">
      <w:pPr>
        <w:spacing w:after="160" w:line="360" w:lineRule="auto"/>
        <w:jc w:val="both"/>
        <w:rPr>
          <w:b/>
          <w:sz w:val="30"/>
          <w:szCs w:val="30"/>
          <w:lang w:val="es-MX"/>
        </w:rPr>
      </w:pPr>
    </w:p>
    <w:p w14:paraId="2742A0B9" w14:textId="767A96DD" w:rsidR="00461546" w:rsidRDefault="00461546">
      <w:pPr>
        <w:spacing w:after="160" w:line="360" w:lineRule="auto"/>
        <w:jc w:val="both"/>
        <w:rPr>
          <w:b/>
          <w:sz w:val="30"/>
          <w:szCs w:val="30"/>
          <w:lang w:val="es-MX"/>
        </w:rPr>
      </w:pPr>
    </w:p>
    <w:p w14:paraId="57FA9A77" w14:textId="77777777" w:rsidR="00FB0889" w:rsidRPr="00FB0889" w:rsidRDefault="00FB0889">
      <w:pPr>
        <w:spacing w:after="160" w:line="360" w:lineRule="auto"/>
        <w:jc w:val="both"/>
        <w:rPr>
          <w:b/>
          <w:sz w:val="30"/>
          <w:szCs w:val="30"/>
          <w:lang w:val="es-MX"/>
        </w:rPr>
      </w:pPr>
    </w:p>
    <w:p w14:paraId="421CA077" w14:textId="77777777" w:rsidR="00461546" w:rsidRPr="00FB0889" w:rsidRDefault="00461546">
      <w:pPr>
        <w:spacing w:after="160" w:line="360" w:lineRule="auto"/>
        <w:jc w:val="both"/>
        <w:rPr>
          <w:b/>
          <w:sz w:val="30"/>
          <w:szCs w:val="30"/>
          <w:lang w:val="es-MX"/>
        </w:rPr>
      </w:pPr>
    </w:p>
    <w:p w14:paraId="5F44C51A" w14:textId="77777777" w:rsidR="00461546" w:rsidRPr="00FB0889" w:rsidRDefault="00461546">
      <w:pPr>
        <w:spacing w:after="160" w:line="360" w:lineRule="auto"/>
        <w:jc w:val="both"/>
        <w:rPr>
          <w:b/>
          <w:sz w:val="30"/>
          <w:szCs w:val="30"/>
          <w:lang w:val="es-MX"/>
        </w:rPr>
      </w:pPr>
    </w:p>
    <w:p w14:paraId="6C4A6869" w14:textId="77777777" w:rsidR="00461546" w:rsidRDefault="00FB0889">
      <w:pPr>
        <w:spacing w:after="160" w:line="360" w:lineRule="auto"/>
        <w:jc w:val="both"/>
        <w:rPr>
          <w:b/>
          <w:sz w:val="30"/>
          <w:szCs w:val="30"/>
        </w:rPr>
      </w:pPr>
      <w:r>
        <w:rPr>
          <w:b/>
          <w:sz w:val="30"/>
          <w:szCs w:val="30"/>
        </w:rPr>
        <w:lastRenderedPageBreak/>
        <w:t>III. Referencias</w:t>
      </w:r>
    </w:p>
    <w:p w14:paraId="7D94688C" w14:textId="77777777" w:rsidR="00461546" w:rsidRPr="00FB0889" w:rsidRDefault="00FB0889">
      <w:pPr>
        <w:numPr>
          <w:ilvl w:val="0"/>
          <w:numId w:val="1"/>
        </w:numPr>
        <w:spacing w:line="360" w:lineRule="auto"/>
        <w:ind w:right="138"/>
        <w:rPr>
          <w:sz w:val="24"/>
          <w:szCs w:val="24"/>
          <w:lang w:val="es-MX"/>
        </w:rPr>
      </w:pPr>
      <w:r w:rsidRPr="00FB0889">
        <w:rPr>
          <w:sz w:val="24"/>
          <w:szCs w:val="24"/>
          <w:lang w:val="es-MX"/>
        </w:rPr>
        <w:t>Abad, F. J. (2011). Medición en ciencias sociales y de la salud.</w:t>
      </w:r>
    </w:p>
    <w:p w14:paraId="417BABFC" w14:textId="77777777" w:rsidR="00461546" w:rsidRDefault="00FB0889">
      <w:pPr>
        <w:numPr>
          <w:ilvl w:val="0"/>
          <w:numId w:val="1"/>
        </w:numPr>
        <w:spacing w:line="360" w:lineRule="auto"/>
        <w:ind w:right="138"/>
        <w:jc w:val="both"/>
        <w:rPr>
          <w:sz w:val="24"/>
          <w:szCs w:val="24"/>
        </w:rPr>
      </w:pPr>
      <w:r w:rsidRPr="00FB0889">
        <w:rPr>
          <w:color w:val="222222"/>
          <w:sz w:val="24"/>
          <w:szCs w:val="24"/>
          <w:lang w:val="es-MX"/>
        </w:rPr>
        <w:t xml:space="preserve">Abreu, O. L. L., Muñoz, J. J. G., Monter, I. B., &amp; Cobas Vilches, M. E. (2015). La mejora continua: objetivo determinante para alcanzar la excelencia en instituciones de educación superior. </w:t>
      </w:r>
      <w:r>
        <w:rPr>
          <w:i/>
          <w:color w:val="222222"/>
          <w:sz w:val="24"/>
          <w:szCs w:val="24"/>
        </w:rPr>
        <w:t>Revista Educación Médica del Centro</w:t>
      </w:r>
      <w:r>
        <w:rPr>
          <w:color w:val="222222"/>
          <w:sz w:val="24"/>
          <w:szCs w:val="24"/>
        </w:rPr>
        <w:t xml:space="preserve">, </w:t>
      </w:r>
      <w:r>
        <w:rPr>
          <w:i/>
          <w:color w:val="222222"/>
          <w:sz w:val="24"/>
          <w:szCs w:val="24"/>
        </w:rPr>
        <w:t>7</w:t>
      </w:r>
      <w:r>
        <w:rPr>
          <w:color w:val="222222"/>
          <w:sz w:val="24"/>
          <w:szCs w:val="24"/>
        </w:rPr>
        <w:t xml:space="preserve">(4), 196-215. </w:t>
      </w:r>
    </w:p>
    <w:p w14:paraId="4081B664" w14:textId="77777777" w:rsidR="00461546" w:rsidRDefault="00FB0889">
      <w:pPr>
        <w:numPr>
          <w:ilvl w:val="0"/>
          <w:numId w:val="1"/>
        </w:numPr>
        <w:spacing w:line="360" w:lineRule="auto"/>
        <w:ind w:right="138"/>
        <w:jc w:val="both"/>
        <w:rPr>
          <w:sz w:val="24"/>
          <w:szCs w:val="24"/>
        </w:rPr>
      </w:pPr>
      <w:r>
        <w:rPr>
          <w:color w:val="222222"/>
          <w:sz w:val="24"/>
          <w:szCs w:val="24"/>
        </w:rPr>
        <w:t xml:space="preserve">AERA, APA y NCME. American Educational Research Association, American Psychological Association y National Council on Measurement in Education (2014). </w:t>
      </w:r>
      <w:r>
        <w:rPr>
          <w:i/>
          <w:color w:val="222222"/>
          <w:sz w:val="24"/>
          <w:szCs w:val="24"/>
        </w:rPr>
        <w:t>Standards for educational and psychological testing</w:t>
      </w:r>
      <w:r>
        <w:rPr>
          <w:color w:val="222222"/>
          <w:sz w:val="24"/>
          <w:szCs w:val="24"/>
        </w:rPr>
        <w:t>. Washington, DC: AERA.</w:t>
      </w:r>
    </w:p>
    <w:p w14:paraId="4B3EFDFB" w14:textId="77777777" w:rsidR="00461546" w:rsidRDefault="00FB0889">
      <w:pPr>
        <w:numPr>
          <w:ilvl w:val="0"/>
          <w:numId w:val="1"/>
        </w:numPr>
        <w:spacing w:line="360" w:lineRule="auto"/>
        <w:ind w:right="138"/>
        <w:jc w:val="both"/>
        <w:rPr>
          <w:sz w:val="24"/>
          <w:szCs w:val="24"/>
        </w:rPr>
      </w:pPr>
      <w:r w:rsidRPr="00FB0889">
        <w:rPr>
          <w:color w:val="222222"/>
          <w:sz w:val="24"/>
          <w:szCs w:val="24"/>
          <w:lang w:val="es-MX"/>
        </w:rPr>
        <w:t xml:space="preserve">AERA, APA y NCME (2018). Estándares para Pruebas Educativas y Psicológicas. </w:t>
      </w:r>
      <w:r>
        <w:rPr>
          <w:color w:val="222222"/>
          <w:sz w:val="24"/>
          <w:szCs w:val="24"/>
        </w:rPr>
        <w:t>Washington, DC: American Educational Research Association. Retrieved March 4, 2020, from www.jstor.org/stable/j.ctvr43hg2</w:t>
      </w:r>
    </w:p>
    <w:p w14:paraId="4AA2765A" w14:textId="77777777" w:rsidR="00461546" w:rsidRDefault="00FB0889">
      <w:pPr>
        <w:numPr>
          <w:ilvl w:val="0"/>
          <w:numId w:val="1"/>
        </w:numPr>
        <w:spacing w:line="360" w:lineRule="auto"/>
        <w:ind w:right="138"/>
        <w:rPr>
          <w:color w:val="222222"/>
          <w:sz w:val="24"/>
          <w:szCs w:val="24"/>
        </w:rPr>
      </w:pPr>
      <w:r>
        <w:rPr>
          <w:color w:val="222222"/>
          <w:sz w:val="24"/>
          <w:szCs w:val="24"/>
        </w:rPr>
        <w:t xml:space="preserve">Bejar, I. I. (2002). Generative testing: From conception to implementation. </w:t>
      </w:r>
      <w:r>
        <w:rPr>
          <w:i/>
          <w:color w:val="222222"/>
          <w:sz w:val="24"/>
          <w:szCs w:val="24"/>
        </w:rPr>
        <w:t>Item generation for test development</w:t>
      </w:r>
      <w:r>
        <w:rPr>
          <w:color w:val="222222"/>
          <w:sz w:val="24"/>
          <w:szCs w:val="24"/>
        </w:rPr>
        <w:t>, 199-217.</w:t>
      </w:r>
    </w:p>
    <w:p w14:paraId="55A33150" w14:textId="77777777" w:rsidR="00461546" w:rsidRPr="00FB0889" w:rsidRDefault="00FB0889">
      <w:pPr>
        <w:numPr>
          <w:ilvl w:val="0"/>
          <w:numId w:val="1"/>
        </w:numPr>
        <w:spacing w:line="360" w:lineRule="auto"/>
        <w:ind w:right="138"/>
        <w:rPr>
          <w:color w:val="222222"/>
          <w:sz w:val="24"/>
          <w:szCs w:val="24"/>
          <w:lang w:val="es-MX"/>
        </w:rPr>
      </w:pPr>
      <w:r w:rsidRPr="00FB0889">
        <w:rPr>
          <w:sz w:val="24"/>
          <w:szCs w:val="24"/>
          <w:lang w:val="es-MX"/>
        </w:rPr>
        <w:t>DOF (2017, 28 de abril). Criterios técnicos para el desarrollo, uso y mantenimiento de instrumentos de evaluación. México. Recuperado de: http://www.dof.gob.mx/nota_detalle. php?codigo=5481062&amp;fecha=28/04/2017</w:t>
      </w:r>
    </w:p>
    <w:p w14:paraId="70A7A300" w14:textId="77777777" w:rsidR="00461546" w:rsidRDefault="00FB0889">
      <w:pPr>
        <w:numPr>
          <w:ilvl w:val="0"/>
          <w:numId w:val="1"/>
        </w:numPr>
        <w:spacing w:line="360" w:lineRule="auto"/>
        <w:ind w:right="138"/>
        <w:rPr>
          <w:sz w:val="24"/>
          <w:szCs w:val="24"/>
        </w:rPr>
      </w:pPr>
      <w:r w:rsidRPr="00FB0889">
        <w:rPr>
          <w:sz w:val="24"/>
          <w:szCs w:val="24"/>
          <w:lang w:val="es-MX"/>
        </w:rPr>
        <w:t xml:space="preserve">Diario Oficial de la Federación (2019). Ley General del Sistema de Carrera para las Maestras y los Maestros. </w:t>
      </w:r>
      <w:r>
        <w:rPr>
          <w:sz w:val="24"/>
          <w:szCs w:val="24"/>
        </w:rPr>
        <w:t>México, Ciudad de México, 30 de septiembre de 2019.</w:t>
      </w:r>
    </w:p>
    <w:p w14:paraId="6A252824" w14:textId="77777777" w:rsidR="00461546" w:rsidRDefault="00FB0889">
      <w:pPr>
        <w:numPr>
          <w:ilvl w:val="0"/>
          <w:numId w:val="1"/>
        </w:numPr>
        <w:spacing w:line="360" w:lineRule="auto"/>
        <w:ind w:right="138"/>
        <w:rPr>
          <w:sz w:val="24"/>
          <w:szCs w:val="24"/>
        </w:rPr>
      </w:pPr>
      <w:r>
        <w:rPr>
          <w:sz w:val="24"/>
          <w:szCs w:val="24"/>
        </w:rPr>
        <w:t xml:space="preserve">Embretson, S.E. (2002) Generating abstract reasoning items with cognitive theory. </w:t>
      </w:r>
      <w:r>
        <w:rPr>
          <w:i/>
          <w:sz w:val="24"/>
          <w:szCs w:val="24"/>
        </w:rPr>
        <w:t>Item generation for test development</w:t>
      </w:r>
      <w:r>
        <w:rPr>
          <w:sz w:val="24"/>
          <w:szCs w:val="24"/>
        </w:rPr>
        <w:t>, 219-250.</w:t>
      </w:r>
    </w:p>
    <w:p w14:paraId="2E81D1B5" w14:textId="77777777" w:rsidR="00461546" w:rsidRDefault="00FB0889">
      <w:pPr>
        <w:numPr>
          <w:ilvl w:val="0"/>
          <w:numId w:val="1"/>
        </w:numPr>
        <w:spacing w:line="360" w:lineRule="auto"/>
        <w:ind w:right="138"/>
        <w:rPr>
          <w:sz w:val="24"/>
          <w:szCs w:val="24"/>
        </w:rPr>
      </w:pPr>
      <w:r>
        <w:rPr>
          <w:sz w:val="24"/>
          <w:szCs w:val="24"/>
        </w:rPr>
        <w:t xml:space="preserve">Embretson, S., &amp; Gorin, J. (2001) Improving construct validity with cognitive psychology principles. </w:t>
      </w:r>
      <w:r>
        <w:rPr>
          <w:i/>
          <w:sz w:val="24"/>
          <w:szCs w:val="24"/>
        </w:rPr>
        <w:t>Journal of Educational Measurement</w:t>
      </w:r>
      <w:r>
        <w:rPr>
          <w:sz w:val="24"/>
          <w:szCs w:val="24"/>
        </w:rPr>
        <w:t>, 38(4), 345-368.</w:t>
      </w:r>
    </w:p>
    <w:p w14:paraId="4556E46C" w14:textId="77777777" w:rsidR="00461546" w:rsidRDefault="00FB0889">
      <w:pPr>
        <w:numPr>
          <w:ilvl w:val="0"/>
          <w:numId w:val="1"/>
        </w:numPr>
        <w:spacing w:line="360" w:lineRule="auto"/>
        <w:ind w:right="138"/>
        <w:jc w:val="both"/>
        <w:rPr>
          <w:sz w:val="24"/>
          <w:szCs w:val="24"/>
        </w:rPr>
      </w:pPr>
      <w:r>
        <w:rPr>
          <w:color w:val="222222"/>
          <w:sz w:val="24"/>
          <w:szCs w:val="24"/>
        </w:rPr>
        <w:t xml:space="preserve">Fullan, M. (2007). Educational reform as continuous improvement. </w:t>
      </w:r>
      <w:r>
        <w:rPr>
          <w:i/>
          <w:color w:val="222222"/>
          <w:sz w:val="24"/>
          <w:szCs w:val="24"/>
        </w:rPr>
        <w:t>The keys to effective schools: Educational reform as continuous improvement</w:t>
      </w:r>
      <w:r>
        <w:rPr>
          <w:color w:val="222222"/>
          <w:sz w:val="24"/>
          <w:szCs w:val="24"/>
        </w:rPr>
        <w:t>, 1-12.</w:t>
      </w:r>
    </w:p>
    <w:p w14:paraId="3185CAA4" w14:textId="77777777" w:rsidR="00461546" w:rsidRDefault="00FB0889">
      <w:pPr>
        <w:numPr>
          <w:ilvl w:val="0"/>
          <w:numId w:val="1"/>
        </w:numPr>
        <w:spacing w:line="360" w:lineRule="auto"/>
        <w:ind w:right="138"/>
        <w:rPr>
          <w:sz w:val="24"/>
          <w:szCs w:val="24"/>
        </w:rPr>
      </w:pPr>
      <w:r>
        <w:rPr>
          <w:color w:val="222222"/>
          <w:sz w:val="24"/>
          <w:szCs w:val="24"/>
          <w:highlight w:val="white"/>
        </w:rPr>
        <w:t xml:space="preserve">Kane, M. T. (1992). An argument-based approach to validity. </w:t>
      </w:r>
      <w:r>
        <w:rPr>
          <w:i/>
          <w:color w:val="222222"/>
          <w:sz w:val="24"/>
          <w:szCs w:val="24"/>
          <w:highlight w:val="white"/>
        </w:rPr>
        <w:t>Psychological bulletin</w:t>
      </w:r>
      <w:r>
        <w:rPr>
          <w:color w:val="222222"/>
          <w:sz w:val="24"/>
          <w:szCs w:val="24"/>
          <w:highlight w:val="white"/>
        </w:rPr>
        <w:t xml:space="preserve">, </w:t>
      </w:r>
      <w:r>
        <w:rPr>
          <w:i/>
          <w:color w:val="222222"/>
          <w:sz w:val="24"/>
          <w:szCs w:val="24"/>
          <w:highlight w:val="white"/>
        </w:rPr>
        <w:t>112</w:t>
      </w:r>
      <w:r>
        <w:rPr>
          <w:color w:val="222222"/>
          <w:sz w:val="24"/>
          <w:szCs w:val="24"/>
          <w:highlight w:val="white"/>
        </w:rPr>
        <w:t>(3), 527.</w:t>
      </w:r>
    </w:p>
    <w:p w14:paraId="74BBD363" w14:textId="77777777" w:rsidR="00461546" w:rsidRDefault="00FB0889">
      <w:pPr>
        <w:numPr>
          <w:ilvl w:val="0"/>
          <w:numId w:val="1"/>
        </w:numPr>
        <w:spacing w:line="360" w:lineRule="auto"/>
        <w:ind w:right="138"/>
        <w:rPr>
          <w:sz w:val="24"/>
          <w:szCs w:val="24"/>
        </w:rPr>
      </w:pPr>
      <w:r>
        <w:rPr>
          <w:sz w:val="24"/>
          <w:szCs w:val="24"/>
        </w:rPr>
        <w:t xml:space="preserve">Kane, M. (2006). Validation. </w:t>
      </w:r>
      <w:r>
        <w:rPr>
          <w:i/>
          <w:sz w:val="24"/>
          <w:szCs w:val="24"/>
        </w:rPr>
        <w:t>Educational measurement</w:t>
      </w:r>
      <w:r>
        <w:rPr>
          <w:sz w:val="24"/>
          <w:szCs w:val="24"/>
        </w:rPr>
        <w:t>, 4(2), 17-64.</w:t>
      </w:r>
    </w:p>
    <w:p w14:paraId="64A966B0" w14:textId="77777777" w:rsidR="00461546" w:rsidRDefault="00FB0889">
      <w:pPr>
        <w:numPr>
          <w:ilvl w:val="0"/>
          <w:numId w:val="1"/>
        </w:numPr>
        <w:spacing w:line="360" w:lineRule="auto"/>
        <w:ind w:right="138"/>
        <w:rPr>
          <w:sz w:val="24"/>
          <w:szCs w:val="24"/>
        </w:rPr>
      </w:pPr>
      <w:r>
        <w:rPr>
          <w:sz w:val="24"/>
          <w:szCs w:val="24"/>
        </w:rPr>
        <w:lastRenderedPageBreak/>
        <w:t>Kane, M. (2015) Explicating Validity. Assessment in education: Principles, Policy &amp; practice. DOI: 10.1080/0969594X.2015.1060192</w:t>
      </w:r>
    </w:p>
    <w:p w14:paraId="51D5532A" w14:textId="77777777" w:rsidR="00461546" w:rsidRDefault="00FB0889">
      <w:pPr>
        <w:numPr>
          <w:ilvl w:val="0"/>
          <w:numId w:val="1"/>
        </w:numPr>
        <w:spacing w:line="360" w:lineRule="auto"/>
        <w:ind w:right="138"/>
        <w:rPr>
          <w:sz w:val="24"/>
          <w:szCs w:val="24"/>
        </w:rPr>
      </w:pPr>
      <w:r w:rsidRPr="00FB0889">
        <w:rPr>
          <w:sz w:val="24"/>
          <w:szCs w:val="24"/>
          <w:lang w:val="es-MX"/>
        </w:rPr>
        <w:t xml:space="preserve">Koretz, D. (2010). </w:t>
      </w:r>
      <w:r w:rsidRPr="00FB0889">
        <w:rPr>
          <w:i/>
          <w:sz w:val="24"/>
          <w:szCs w:val="24"/>
          <w:lang w:val="es-MX"/>
        </w:rPr>
        <w:t>El ABC de la evaluación educativa (Measuring up)</w:t>
      </w:r>
      <w:r w:rsidRPr="00FB0889">
        <w:rPr>
          <w:sz w:val="24"/>
          <w:szCs w:val="24"/>
          <w:lang w:val="es-MX"/>
        </w:rPr>
        <w:t xml:space="preserve">. </w:t>
      </w:r>
      <w:r>
        <w:rPr>
          <w:sz w:val="24"/>
          <w:szCs w:val="24"/>
        </w:rPr>
        <w:t>México: Ceneval.</w:t>
      </w:r>
    </w:p>
    <w:p w14:paraId="7FE45B4E" w14:textId="77777777" w:rsidR="00461546" w:rsidRDefault="00FB0889">
      <w:pPr>
        <w:numPr>
          <w:ilvl w:val="0"/>
          <w:numId w:val="1"/>
        </w:numPr>
        <w:spacing w:line="360" w:lineRule="auto"/>
        <w:ind w:right="138"/>
        <w:rPr>
          <w:sz w:val="24"/>
          <w:szCs w:val="24"/>
        </w:rPr>
      </w:pPr>
      <w:r>
        <w:rPr>
          <w:sz w:val="24"/>
          <w:szCs w:val="24"/>
        </w:rPr>
        <w:t xml:space="preserve">Leighton, J.P. (2004) Avoiding misconception, misuse and missed opportunities: The collection of verbal reports in educational achievement testing. </w:t>
      </w:r>
      <w:r>
        <w:rPr>
          <w:i/>
          <w:sz w:val="24"/>
          <w:szCs w:val="24"/>
        </w:rPr>
        <w:t>Educational Measurement: Issues and Practice</w:t>
      </w:r>
      <w:r>
        <w:rPr>
          <w:sz w:val="24"/>
          <w:szCs w:val="24"/>
        </w:rPr>
        <w:t>, 23(4), 6-15.</w:t>
      </w:r>
    </w:p>
    <w:p w14:paraId="768FB27F" w14:textId="77777777" w:rsidR="00461546" w:rsidRDefault="00FB0889">
      <w:pPr>
        <w:numPr>
          <w:ilvl w:val="0"/>
          <w:numId w:val="1"/>
        </w:numPr>
        <w:spacing w:line="360" w:lineRule="auto"/>
        <w:ind w:right="138"/>
        <w:rPr>
          <w:sz w:val="24"/>
          <w:szCs w:val="24"/>
        </w:rPr>
      </w:pPr>
      <w:r>
        <w:rPr>
          <w:color w:val="222222"/>
          <w:sz w:val="24"/>
          <w:szCs w:val="24"/>
          <w:highlight w:val="white"/>
        </w:rPr>
        <w:t xml:space="preserve">Lissitz, R. W. (Ed.). (2009). </w:t>
      </w:r>
      <w:r>
        <w:rPr>
          <w:i/>
          <w:color w:val="222222"/>
          <w:sz w:val="24"/>
          <w:szCs w:val="24"/>
          <w:highlight w:val="white"/>
        </w:rPr>
        <w:t>The concept of validity: Revisions, new directions and applications</w:t>
      </w:r>
      <w:r>
        <w:rPr>
          <w:color w:val="222222"/>
          <w:sz w:val="24"/>
          <w:szCs w:val="24"/>
          <w:highlight w:val="white"/>
        </w:rPr>
        <w:t>. IAP.</w:t>
      </w:r>
    </w:p>
    <w:p w14:paraId="01BFB963" w14:textId="77777777" w:rsidR="00461546" w:rsidRDefault="00FB0889">
      <w:pPr>
        <w:numPr>
          <w:ilvl w:val="0"/>
          <w:numId w:val="1"/>
        </w:numPr>
        <w:spacing w:line="360" w:lineRule="auto"/>
        <w:ind w:right="138"/>
        <w:rPr>
          <w:color w:val="222222"/>
          <w:sz w:val="24"/>
          <w:szCs w:val="24"/>
          <w:highlight w:val="white"/>
        </w:rPr>
      </w:pPr>
      <w:r>
        <w:rPr>
          <w:color w:val="222222"/>
          <w:sz w:val="24"/>
          <w:szCs w:val="24"/>
          <w:highlight w:val="white"/>
        </w:rPr>
        <w:t xml:space="preserve">Mellenbergh, G. J. (2011). </w:t>
      </w:r>
      <w:r>
        <w:rPr>
          <w:i/>
          <w:color w:val="222222"/>
          <w:sz w:val="24"/>
          <w:szCs w:val="24"/>
          <w:highlight w:val="white"/>
        </w:rPr>
        <w:t>A conceptual introduction to psychometrics: development, analysis, and application of psychological and educational tests</w:t>
      </w:r>
      <w:r>
        <w:rPr>
          <w:color w:val="222222"/>
          <w:sz w:val="24"/>
          <w:szCs w:val="24"/>
          <w:highlight w:val="white"/>
        </w:rPr>
        <w:t>. The Hague, Netherlands: Eleven International Publishing.</w:t>
      </w:r>
    </w:p>
    <w:p w14:paraId="3337B932" w14:textId="77777777" w:rsidR="00461546" w:rsidRDefault="00FB0889">
      <w:pPr>
        <w:numPr>
          <w:ilvl w:val="0"/>
          <w:numId w:val="1"/>
        </w:numPr>
        <w:spacing w:line="360" w:lineRule="auto"/>
        <w:ind w:right="138"/>
        <w:rPr>
          <w:sz w:val="24"/>
          <w:szCs w:val="24"/>
        </w:rPr>
      </w:pPr>
      <w:r>
        <w:rPr>
          <w:color w:val="222222"/>
          <w:sz w:val="24"/>
          <w:szCs w:val="24"/>
          <w:highlight w:val="white"/>
        </w:rPr>
        <w:t xml:space="preserve">Mislevy, R. J. (2007). Validity by design. </w:t>
      </w:r>
      <w:r>
        <w:rPr>
          <w:i/>
          <w:color w:val="222222"/>
          <w:sz w:val="24"/>
          <w:szCs w:val="24"/>
          <w:highlight w:val="white"/>
        </w:rPr>
        <w:t>Educational Researcher</w:t>
      </w:r>
      <w:r>
        <w:rPr>
          <w:color w:val="222222"/>
          <w:sz w:val="24"/>
          <w:szCs w:val="24"/>
          <w:highlight w:val="white"/>
        </w:rPr>
        <w:t xml:space="preserve">, </w:t>
      </w:r>
      <w:r>
        <w:rPr>
          <w:i/>
          <w:color w:val="222222"/>
          <w:sz w:val="24"/>
          <w:szCs w:val="24"/>
          <w:highlight w:val="white"/>
        </w:rPr>
        <w:t>36</w:t>
      </w:r>
      <w:r>
        <w:rPr>
          <w:color w:val="222222"/>
          <w:sz w:val="24"/>
          <w:szCs w:val="24"/>
          <w:highlight w:val="white"/>
        </w:rPr>
        <w:t>(8), 463-469.</w:t>
      </w:r>
    </w:p>
    <w:p w14:paraId="7BC88FC6" w14:textId="77777777" w:rsidR="00461546" w:rsidRDefault="00FB0889">
      <w:pPr>
        <w:numPr>
          <w:ilvl w:val="0"/>
          <w:numId w:val="1"/>
        </w:numPr>
        <w:spacing w:line="360" w:lineRule="auto"/>
        <w:ind w:right="138"/>
        <w:rPr>
          <w:sz w:val="24"/>
          <w:szCs w:val="24"/>
        </w:rPr>
      </w:pPr>
      <w:r>
        <w:rPr>
          <w:color w:val="222222"/>
          <w:sz w:val="24"/>
          <w:szCs w:val="24"/>
          <w:highlight w:val="white"/>
        </w:rPr>
        <w:t>Nitko, A. J. (1994). A Model for Curriculum-Driven Criterion-Referenced and Norm-Referenced National Examinations for Certification and Selection of Students.</w:t>
      </w:r>
    </w:p>
    <w:p w14:paraId="5840A340" w14:textId="77777777" w:rsidR="00461546" w:rsidRDefault="00FB0889">
      <w:pPr>
        <w:numPr>
          <w:ilvl w:val="0"/>
          <w:numId w:val="1"/>
        </w:numPr>
        <w:spacing w:line="360" w:lineRule="auto"/>
        <w:ind w:right="138"/>
        <w:rPr>
          <w:color w:val="222222"/>
          <w:sz w:val="24"/>
          <w:szCs w:val="24"/>
          <w:highlight w:val="white"/>
        </w:rPr>
      </w:pPr>
      <w:r>
        <w:rPr>
          <w:color w:val="222222"/>
          <w:sz w:val="24"/>
          <w:szCs w:val="24"/>
          <w:highlight w:val="white"/>
        </w:rPr>
        <w:t xml:space="preserve">Schmeiser, C. y Welch, C. (2006). Test Development. En: Brennan, R. L. (ed.), </w:t>
      </w:r>
      <w:r>
        <w:rPr>
          <w:i/>
          <w:color w:val="222222"/>
          <w:sz w:val="24"/>
          <w:szCs w:val="24"/>
          <w:highlight w:val="white"/>
        </w:rPr>
        <w:t>Educational Measurement</w:t>
      </w:r>
      <w:r>
        <w:rPr>
          <w:color w:val="222222"/>
          <w:sz w:val="24"/>
          <w:szCs w:val="24"/>
          <w:highlight w:val="white"/>
        </w:rPr>
        <w:t xml:space="preserve"> (pp. 307-354). Washington, DC: American Council on Education. Praeger Series on Higher Education.</w:t>
      </w:r>
    </w:p>
    <w:p w14:paraId="42C3C60F" w14:textId="77777777" w:rsidR="00461546" w:rsidRDefault="00FB0889">
      <w:pPr>
        <w:numPr>
          <w:ilvl w:val="0"/>
          <w:numId w:val="1"/>
        </w:numPr>
        <w:spacing w:line="360" w:lineRule="auto"/>
        <w:ind w:right="138"/>
        <w:rPr>
          <w:sz w:val="24"/>
          <w:szCs w:val="24"/>
        </w:rPr>
      </w:pPr>
      <w:r w:rsidRPr="00FB0889">
        <w:rPr>
          <w:sz w:val="24"/>
          <w:szCs w:val="24"/>
          <w:lang w:val="es-MX"/>
        </w:rPr>
        <w:t xml:space="preserve">Secretaría de Educación Pública (2019). Marco para la excelencia en la enseñanza y la gestión escolar en la Educación Básica: Perfiles profesionales, criterios e indicadores para docentes, técnicos docentes y personal con funciones de dirección y supervisión. </w:t>
      </w:r>
      <w:r>
        <w:rPr>
          <w:sz w:val="24"/>
          <w:szCs w:val="24"/>
        </w:rPr>
        <w:t>Ciclo escolar 2020-2021.</w:t>
      </w:r>
    </w:p>
    <w:p w14:paraId="6B92184B" w14:textId="77777777" w:rsidR="00461546" w:rsidRDefault="00FB0889">
      <w:pPr>
        <w:numPr>
          <w:ilvl w:val="0"/>
          <w:numId w:val="1"/>
        </w:numPr>
        <w:spacing w:line="360" w:lineRule="auto"/>
        <w:ind w:right="138"/>
        <w:rPr>
          <w:sz w:val="24"/>
          <w:szCs w:val="24"/>
        </w:rPr>
      </w:pPr>
      <w:r>
        <w:rPr>
          <w:color w:val="222222"/>
          <w:sz w:val="24"/>
          <w:szCs w:val="24"/>
          <w:highlight w:val="white"/>
        </w:rPr>
        <w:t xml:space="preserve">Thomas, E. J. (1985, July). The validity of design and development and related concepts in developmental research. In </w:t>
      </w:r>
      <w:r>
        <w:rPr>
          <w:i/>
          <w:color w:val="222222"/>
          <w:sz w:val="24"/>
          <w:szCs w:val="24"/>
          <w:highlight w:val="white"/>
        </w:rPr>
        <w:t>Social Work Research and Abstracts</w:t>
      </w:r>
      <w:r>
        <w:rPr>
          <w:color w:val="222222"/>
          <w:sz w:val="24"/>
          <w:szCs w:val="24"/>
          <w:highlight w:val="white"/>
        </w:rPr>
        <w:t xml:space="preserve"> (Vol. 21, No. 2, pp. 50-55). Oxford University Press.</w:t>
      </w:r>
    </w:p>
    <w:p w14:paraId="5EBAF632" w14:textId="77777777" w:rsidR="00461546" w:rsidRPr="00FB0889" w:rsidRDefault="00FB0889">
      <w:pPr>
        <w:numPr>
          <w:ilvl w:val="0"/>
          <w:numId w:val="1"/>
        </w:numPr>
        <w:spacing w:after="160" w:line="360" w:lineRule="auto"/>
        <w:jc w:val="both"/>
        <w:rPr>
          <w:color w:val="222222"/>
          <w:sz w:val="24"/>
          <w:szCs w:val="24"/>
          <w:highlight w:val="white"/>
          <w:lang w:val="es-MX"/>
        </w:rPr>
      </w:pPr>
      <w:r>
        <w:rPr>
          <w:sz w:val="24"/>
          <w:szCs w:val="24"/>
        </w:rPr>
        <w:t xml:space="preserve">Welch, C., Dunbar, S. &amp; Crabtree, A. (2020). Content Validity Evidence in the Item Development Process. </w:t>
      </w:r>
      <w:r w:rsidRPr="00FB0889">
        <w:rPr>
          <w:sz w:val="24"/>
          <w:szCs w:val="24"/>
          <w:lang w:val="es-MX"/>
        </w:rPr>
        <w:t xml:space="preserve">Recuperado en marzo 2020 de: </w:t>
      </w:r>
      <w:hyperlink r:id="rId7">
        <w:r w:rsidRPr="00FB0889">
          <w:rPr>
            <w:sz w:val="24"/>
            <w:szCs w:val="24"/>
            <w:lang w:val="es-MX"/>
          </w:rPr>
          <w:t>https://s3.amazonaws.com/acsipdp/AsmtPgs/HMH_SOA_Content_Valid_Evidence_in_Item_Dev_Process.pdf</w:t>
        </w:r>
      </w:hyperlink>
    </w:p>
    <w:p w14:paraId="252CB08E" w14:textId="77777777" w:rsidR="00461546" w:rsidRDefault="00FB0889">
      <w:pPr>
        <w:spacing w:after="160" w:line="360" w:lineRule="auto"/>
        <w:jc w:val="both"/>
        <w:rPr>
          <w:color w:val="4472C4"/>
          <w:sz w:val="30"/>
          <w:szCs w:val="30"/>
        </w:rPr>
      </w:pPr>
      <w:r>
        <w:rPr>
          <w:b/>
          <w:sz w:val="30"/>
          <w:szCs w:val="30"/>
        </w:rPr>
        <w:lastRenderedPageBreak/>
        <w:t>IV. Anexos o Apéndice</w:t>
      </w:r>
    </w:p>
    <w:p w14:paraId="3E7DF8C6" w14:textId="77777777" w:rsidR="00461546" w:rsidRDefault="00461546">
      <w:pPr>
        <w:spacing w:after="160" w:line="360" w:lineRule="auto"/>
        <w:ind w:left="425"/>
        <w:jc w:val="both"/>
        <w:rPr>
          <w:color w:val="4472C4"/>
          <w:sz w:val="24"/>
          <w:szCs w:val="24"/>
        </w:rPr>
      </w:pPr>
    </w:p>
    <w:p w14:paraId="01BDAA53" w14:textId="77777777" w:rsidR="00461546" w:rsidRDefault="00461546">
      <w:pPr>
        <w:rPr>
          <w:rFonts w:ascii="Calibri" w:eastAsia="Calibri" w:hAnsi="Calibri" w:cs="Calibri"/>
        </w:rPr>
      </w:pPr>
    </w:p>
    <w:p w14:paraId="643BDA9D" w14:textId="77777777" w:rsidR="00461546" w:rsidRDefault="00461546">
      <w:pPr>
        <w:rPr>
          <w:rFonts w:ascii="Calibri" w:eastAsia="Calibri" w:hAnsi="Calibri" w:cs="Calibri"/>
          <w:b/>
          <w:sz w:val="44"/>
          <w:szCs w:val="44"/>
        </w:rPr>
      </w:pPr>
    </w:p>
    <w:sectPr w:rsidR="0046154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D134F" w14:textId="77777777" w:rsidR="00616297" w:rsidRDefault="00616297" w:rsidP="00B92345">
      <w:pPr>
        <w:spacing w:line="240" w:lineRule="auto"/>
      </w:pPr>
      <w:r>
        <w:separator/>
      </w:r>
    </w:p>
  </w:endnote>
  <w:endnote w:type="continuationSeparator" w:id="0">
    <w:p w14:paraId="0661CBCF" w14:textId="77777777" w:rsidR="00616297" w:rsidRDefault="00616297" w:rsidP="00B92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4FE7F" w14:textId="77777777" w:rsidR="00616297" w:rsidRDefault="00616297" w:rsidP="00B92345">
      <w:pPr>
        <w:spacing w:line="240" w:lineRule="auto"/>
      </w:pPr>
      <w:r>
        <w:separator/>
      </w:r>
    </w:p>
  </w:footnote>
  <w:footnote w:type="continuationSeparator" w:id="0">
    <w:p w14:paraId="1E7B112B" w14:textId="77777777" w:rsidR="00616297" w:rsidRDefault="00616297" w:rsidP="00B923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664EC"/>
    <w:multiLevelType w:val="multilevel"/>
    <w:tmpl w:val="20362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546"/>
    <w:rsid w:val="00181DD1"/>
    <w:rsid w:val="00461546"/>
    <w:rsid w:val="00616297"/>
    <w:rsid w:val="00B92345"/>
    <w:rsid w:val="00FB08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3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92345"/>
    <w:pPr>
      <w:tabs>
        <w:tab w:val="center" w:pos="4419"/>
        <w:tab w:val="right" w:pos="8838"/>
      </w:tabs>
      <w:spacing w:line="240" w:lineRule="auto"/>
    </w:pPr>
  </w:style>
  <w:style w:type="character" w:customStyle="1" w:styleId="HeaderChar">
    <w:name w:val="Header Char"/>
    <w:basedOn w:val="DefaultParagraphFont"/>
    <w:link w:val="Header"/>
    <w:uiPriority w:val="99"/>
    <w:rsid w:val="00B92345"/>
  </w:style>
  <w:style w:type="paragraph" w:styleId="Footer">
    <w:name w:val="footer"/>
    <w:basedOn w:val="Normal"/>
    <w:link w:val="FooterChar"/>
    <w:uiPriority w:val="99"/>
    <w:unhideWhenUsed/>
    <w:rsid w:val="00B92345"/>
    <w:pPr>
      <w:tabs>
        <w:tab w:val="center" w:pos="4419"/>
        <w:tab w:val="right" w:pos="8838"/>
      </w:tabs>
      <w:spacing w:line="240" w:lineRule="auto"/>
    </w:pPr>
  </w:style>
  <w:style w:type="character" w:customStyle="1" w:styleId="FooterChar">
    <w:name w:val="Footer Char"/>
    <w:basedOn w:val="DefaultParagraphFont"/>
    <w:link w:val="Footer"/>
    <w:uiPriority w:val="99"/>
    <w:rsid w:val="00B92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4542</Words>
  <Characters>24984</Characters>
  <Application>Microsoft Office Word</Application>
  <DocSecurity>0</DocSecurity>
  <Lines>208</Lines>
  <Paragraphs>58</Paragraphs>
  <ScaleCrop>false</ScaleCrop>
  <Company/>
  <LinksUpToDate>false</LinksUpToDate>
  <CharactersWithSpaces>29468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2020-03-06T01:21:00Z</dcterms:created>
  <dcterms:modified xsi:type="dcterms:W3CDTF">2020-03-06T01:21:00Z</dcterms:modified>
</cp:coreProperties>
</file>