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56375DD8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3737E5">
              <w:rPr>
                <w:sz w:val="18"/>
                <w:szCs w:val="18"/>
              </w:rPr>
              <w:t xml:space="preserve">Luis Adrian Carmona Jimenez  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6232FFE3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3737E5">
              <w:rPr>
                <w:sz w:val="18"/>
                <w:szCs w:val="18"/>
              </w:rPr>
              <w:t>1-1933-0374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proofErr w:type="gram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583225923">
    <w:abstractNumId w:val="0"/>
  </w:num>
  <w:num w:numId="2" w16cid:durableId="123832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3737E5"/>
    <w:rsid w:val="00465ED4"/>
    <w:rsid w:val="00526EF6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</dc:creator>
  <cp:keywords/>
  <dc:description/>
  <cp:lastModifiedBy>Luis Carmona Jimenez</cp:lastModifiedBy>
  <cp:revision>2</cp:revision>
  <dcterms:created xsi:type="dcterms:W3CDTF">2024-11-18T20:32:00Z</dcterms:created>
  <dcterms:modified xsi:type="dcterms:W3CDTF">2024-11-18T20:32:00Z</dcterms:modified>
</cp:coreProperties>
</file>