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821D" w14:textId="77777777" w:rsidR="00CA00CF" w:rsidRDefault="00CA00CF">
      <w:pPr>
        <w:spacing w:before="80"/>
      </w:pPr>
    </w:p>
    <w:p w14:paraId="53E549FB" w14:textId="77777777" w:rsidR="00CA00C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4A5568"/>
          <w:sz w:val="22"/>
          <w:szCs w:val="22"/>
        </w:rPr>
        <w:t>PROJECT REPORT</w:t>
      </w:r>
    </w:p>
    <w:p w14:paraId="1E540BE9" w14:textId="77777777" w:rsidR="00CA00CF" w:rsidRDefault="00CA00CF">
      <w:pPr>
        <w:pBdr>
          <w:bottom w:val="single" w:sz="18" w:space="1" w:color="1A365D"/>
        </w:pBdr>
        <w:spacing w:after="200"/>
        <w:jc w:val="center"/>
      </w:pPr>
    </w:p>
    <w:p w14:paraId="1959A870" w14:textId="77777777" w:rsidR="00CA00CF" w:rsidRDefault="00000000">
      <w:pPr>
        <w:spacing w:before="200" w:after="80"/>
        <w:jc w:val="center"/>
      </w:pPr>
      <w:r>
        <w:rPr>
          <w:rFonts w:ascii="Calibri" w:eastAsia="Calibri" w:hAnsi="Calibri" w:cs="Calibri"/>
          <w:b/>
          <w:bCs/>
          <w:color w:val="1A365D"/>
          <w:sz w:val="44"/>
          <w:szCs w:val="44"/>
        </w:rPr>
        <w:t>UPI Transactions Dashboard</w:t>
      </w:r>
    </w:p>
    <w:p w14:paraId="1F9F8C68" w14:textId="77777777" w:rsidR="00CA00CF" w:rsidRDefault="00000000">
      <w:pPr>
        <w:spacing w:after="200"/>
        <w:jc w:val="center"/>
        <w:rPr>
          <w:rFonts w:ascii="Calibri" w:eastAsia="Calibri" w:hAnsi="Calibri" w:cs="Calibri"/>
          <w:i/>
          <w:iCs/>
          <w:color w:val="4A5568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4A5568"/>
          <w:sz w:val="22"/>
          <w:szCs w:val="22"/>
        </w:rPr>
        <w:t>Real-Time Analytical Overview of Unified Payments Interface Transactions</w:t>
      </w:r>
    </w:p>
    <w:p w14:paraId="5528D3B3" w14:textId="1DE5F296" w:rsidR="006A5C28" w:rsidRDefault="006A5C28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4A5568"/>
          <w:sz w:val="22"/>
          <w:szCs w:val="22"/>
        </w:rPr>
        <w:t>By Adrij Das</w:t>
      </w:r>
    </w:p>
    <w:p w14:paraId="46DA42B4" w14:textId="77777777" w:rsidR="00CA00CF" w:rsidRDefault="00CA00CF">
      <w:pPr>
        <w:pBdr>
          <w:bottom w:val="single" w:sz="12" w:space="1" w:color="2B6CB0"/>
        </w:pBdr>
        <w:spacing w:after="240"/>
        <w:jc w:val="center"/>
      </w:pPr>
    </w:p>
    <w:p w14:paraId="3E3DD3D3" w14:textId="77777777" w:rsidR="00CA00CF" w:rsidRDefault="00000000">
      <w:pPr>
        <w:pStyle w:val="Heading1"/>
        <w:spacing w:before="160"/>
      </w:pPr>
      <w:r>
        <w:t>1. Introduction</w:t>
      </w:r>
    </w:p>
    <w:p w14:paraId="64F416B9" w14:textId="77777777" w:rsidR="00CA00CF" w:rsidRDefault="00000000">
      <w:pPr>
        <w:pStyle w:val="BodyText"/>
      </w:pPr>
      <w:r>
        <w:t>The Unified Payments Interface (UPI) has transformed digital payments in India, enabling seamless, real-time bank-to-bank transfers through mobile applications. With billions of transactions processed monthly, analyzing this data is critical for banks, fintech companies, regulators, and merchants.</w:t>
      </w:r>
    </w:p>
    <w:p w14:paraId="0318A595" w14:textId="77777777" w:rsidR="00CA00CF" w:rsidRDefault="00000000">
      <w:pPr>
        <w:pStyle w:val="BodyText"/>
      </w:pPr>
      <w:r>
        <w:t>This project delivers an interactive UPI Transactions Dashboard built in Microsoft Excel. The dashboard consolidates key performance indicators, geographic distribution, app-wise market share, bank performance, temporal patterns, and fraud indicators into a single, easy-to-navigate interface.</w:t>
      </w:r>
    </w:p>
    <w:p w14:paraId="6394E798" w14:textId="77777777" w:rsidR="00CA00CF" w:rsidRDefault="00000000">
      <w:pPr>
        <w:pStyle w:val="BodyText"/>
      </w:pPr>
      <w:r>
        <w:t>The goal is to convert raw transactional data into clear, actionable insights that support operational monitoring, risk management, product strategy, and executive decision-making.</w:t>
      </w:r>
    </w:p>
    <w:p w14:paraId="6285A157" w14:textId="77777777" w:rsidR="00CA00CF" w:rsidRDefault="00000000">
      <w:pPr>
        <w:pStyle w:val="Heading1"/>
      </w:pPr>
      <w:r>
        <w:t>2. Project Objectives</w:t>
      </w:r>
    </w:p>
    <w:p w14:paraId="3B8B5F65" w14:textId="77777777" w:rsidR="00CA00C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Design a clean, interactive dashboard that provides a real-time overview of UPI transaction performance.</w:t>
      </w:r>
    </w:p>
    <w:p w14:paraId="6CD788E5" w14:textId="77777777" w:rsidR="00CA00C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Track and visualize core KPIs: Total Transactions, Transaction Value, Cashback, Success Rate, and Suspected Fraud.</w:t>
      </w:r>
    </w:p>
    <w:p w14:paraId="23ABA5EA" w14:textId="77777777" w:rsidR="00CA00C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Enable multi-dimensional filtering by City, Gender, Merchant Name, and Merchant Category.</w:t>
      </w:r>
    </w:p>
    <w:p w14:paraId="0B08CB11" w14:textId="77777777" w:rsidR="00CA00C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Analyze market share across major UPI applications (PhonePe, Google Pay, Paytm, Amazon Pay, BHIM, Cred Pay, WhatsApp Pay).</w:t>
      </w:r>
    </w:p>
    <w:p w14:paraId="6B630278" w14:textId="77777777" w:rsidR="00CA00C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Identify top-performing states, banks, and transaction types.</w:t>
      </w:r>
    </w:p>
    <w:p w14:paraId="5062B7BE" w14:textId="77777777" w:rsidR="00CA00C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Uncover temporal patterns using daily trends, hourly distribution, and day-of-week heatmaps.</w:t>
      </w:r>
    </w:p>
    <w:p w14:paraId="762FE17E" w14:textId="77777777" w:rsidR="00CA00C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Highlight potential fraud cases for further investigation by risk teams.</w:t>
      </w:r>
    </w:p>
    <w:p w14:paraId="25EA8713" w14:textId="77777777" w:rsidR="00CA00CF" w:rsidRDefault="00000000">
      <w:pPr>
        <w:pStyle w:val="Heading1"/>
      </w:pPr>
      <w:r>
        <w:t>3. Tools &amp; Technologies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CA00CF" w14:paraId="03EBB5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314CB7C0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Tool / Technology</w:t>
            </w:r>
          </w:p>
        </w:tc>
        <w:tc>
          <w:tcPr>
            <w:tcW w:w="5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6731FE0A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A00CF" w14:paraId="71EE3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AA5018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Microsoft Excel</w:t>
            </w:r>
          </w:p>
        </w:tc>
        <w:tc>
          <w:tcPr>
            <w:tcW w:w="5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CF5B4C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Data modeling, calculations &amp; interactive dashboard UI</w:t>
            </w:r>
          </w:p>
        </w:tc>
      </w:tr>
      <w:tr w:rsidR="00CA00CF" w14:paraId="0B6F78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5BB5E371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Pivot Tables &amp; Charts</w:t>
            </w:r>
          </w:p>
        </w:tc>
        <w:tc>
          <w:tcPr>
            <w:tcW w:w="5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6BE35637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Dynamic aggregations and visualizations</w:t>
            </w:r>
          </w:p>
        </w:tc>
      </w:tr>
      <w:tr w:rsidR="00CA00CF" w14:paraId="294AE7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804E4E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Slicers &amp; Filters</w:t>
            </w:r>
          </w:p>
        </w:tc>
        <w:tc>
          <w:tcPr>
            <w:tcW w:w="5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48F77B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Multi-dimensional interactive filtering</w:t>
            </w:r>
          </w:p>
        </w:tc>
      </w:tr>
      <w:tr w:rsidR="00CA00CF" w14:paraId="2A8B12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39AB6D34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Conditional Formatting</w:t>
            </w:r>
          </w:p>
        </w:tc>
        <w:tc>
          <w:tcPr>
            <w:tcW w:w="5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0089338B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Visual highlighting of key metrics and status</w:t>
            </w:r>
          </w:p>
        </w:tc>
      </w:tr>
      <w:tr w:rsidR="00CA00CF" w14:paraId="615CC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45D292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Data Analysis Techniques</w:t>
            </w:r>
          </w:p>
        </w:tc>
        <w:tc>
          <w:tcPr>
            <w:tcW w:w="5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ABF82D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Cleaning, transformation &amp; metric calculation</w:t>
            </w:r>
          </w:p>
        </w:tc>
      </w:tr>
    </w:tbl>
    <w:p w14:paraId="3EBE622E" w14:textId="77777777" w:rsidR="00CA00CF" w:rsidRDefault="00000000">
      <w:pPr>
        <w:pStyle w:val="BodyText"/>
        <w:spacing w:before="160"/>
      </w:pPr>
      <w:r>
        <w:t>The entire solution is developed within Microsoft Excel to ensure maximum accessibility, offline usability, and ease of sharing without requiring specialized BI licenses.</w:t>
      </w:r>
    </w:p>
    <w:p w14:paraId="28C9516F" w14:textId="77777777" w:rsidR="00CA00CF" w:rsidRDefault="00000000">
      <w:pPr>
        <w:pStyle w:val="Heading1"/>
      </w:pPr>
      <w:r>
        <w:t>4. Key Performance Indicators (KPIs)</w:t>
      </w:r>
    </w:p>
    <w:p w14:paraId="4E45D72E" w14:textId="77777777" w:rsidR="00CA00CF" w:rsidRDefault="00000000">
      <w:pPr>
        <w:pStyle w:val="BodyText"/>
      </w:pPr>
      <w:r>
        <w:lastRenderedPageBreak/>
        <w:t>The dashboard opens with five high-level KPI cards that give an immediate health check of the UPI ecosystem: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400"/>
      </w:tblGrid>
      <w:tr w:rsidR="00CA00CF" w14:paraId="1BADA7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685CE0F7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4E2F5B17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09C668C3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A00CF" w14:paraId="734348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FF4"/>
          </w:tcPr>
          <w:p w14:paraId="6FFCEF57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Total Transactions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FF4"/>
          </w:tcPr>
          <w:p w14:paraId="5576C847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5,02,887</w:t>
            </w:r>
          </w:p>
        </w:tc>
        <w:tc>
          <w:tcPr>
            <w:tcW w:w="4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FF4"/>
          </w:tcPr>
          <w:p w14:paraId="48EE2662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Total number of UPI transactions processed</w:t>
            </w:r>
          </w:p>
        </w:tc>
      </w:tr>
      <w:tr w:rsidR="00CA00CF" w14:paraId="3DDBA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36D5F9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Total Amount (INR)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BBA9DF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₹ 44.25 Cr</w:t>
            </w:r>
          </w:p>
        </w:tc>
        <w:tc>
          <w:tcPr>
            <w:tcW w:w="4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707F97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Aggregate transaction value</w:t>
            </w:r>
          </w:p>
        </w:tc>
      </w:tr>
      <w:tr w:rsidR="00CA00CF" w14:paraId="4ADE84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FF4"/>
          </w:tcPr>
          <w:p w14:paraId="2F3490DB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Total Cashback (INR)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FF4"/>
          </w:tcPr>
          <w:p w14:paraId="0EA5EA3E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₹ 34.63 L</w:t>
            </w:r>
          </w:p>
        </w:tc>
        <w:tc>
          <w:tcPr>
            <w:tcW w:w="4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FF4"/>
          </w:tcPr>
          <w:p w14:paraId="0E180758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Cashback amount distributed to users</w:t>
            </w:r>
          </w:p>
        </w:tc>
      </w:tr>
      <w:tr w:rsidR="00CA00CF" w14:paraId="40B99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A11628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Success Rate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DBEF79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91.00%</w:t>
            </w:r>
          </w:p>
        </w:tc>
        <w:tc>
          <w:tcPr>
            <w:tcW w:w="4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7EC0DC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Percentage of successfully completed transactions</w:t>
            </w:r>
          </w:p>
        </w:tc>
      </w:tr>
      <w:tr w:rsidR="00CA00CF" w14:paraId="09FA9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5F5"/>
          </w:tcPr>
          <w:p w14:paraId="2A1C9762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Suspected Fraud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5F5"/>
          </w:tcPr>
          <w:p w14:paraId="25E85FDF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02C"/>
              </w:rPr>
              <w:t>17,089</w:t>
            </w:r>
          </w:p>
        </w:tc>
        <w:tc>
          <w:tcPr>
            <w:tcW w:w="4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5F5"/>
          </w:tcPr>
          <w:p w14:paraId="5EB2BC9C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Transactions flagged as potentially fraudulent</w:t>
            </w:r>
          </w:p>
        </w:tc>
      </w:tr>
    </w:tbl>
    <w:p w14:paraId="6E235D70" w14:textId="77777777" w:rsidR="00CA00CF" w:rsidRDefault="00000000">
      <w:pPr>
        <w:pStyle w:val="BodyText"/>
        <w:spacing w:before="140"/>
      </w:pPr>
      <w:r>
        <w:t>These metrics are dynamically linked to the underlying data model and respond instantly when filters (slicers) are applied.</w:t>
      </w:r>
    </w:p>
    <w:p w14:paraId="5DC47471" w14:textId="77777777" w:rsidR="00CA00CF" w:rsidRDefault="00000000">
      <w:pPr>
        <w:pStyle w:val="Heading1"/>
      </w:pPr>
      <w:r>
        <w:t>5. Dashboard Components &amp; Visualizations</w:t>
      </w:r>
    </w:p>
    <w:p w14:paraId="54B3FC79" w14:textId="77777777" w:rsidR="00CA00CF" w:rsidRDefault="00000000">
      <w:pPr>
        <w:pStyle w:val="Heading2"/>
      </w:pPr>
      <w:r>
        <w:t>5.1 Interactive Filters (Slicers)</w:t>
      </w:r>
    </w:p>
    <w:p w14:paraId="17E99D9A" w14:textId="77777777" w:rsidR="00CA00CF" w:rsidRDefault="00000000">
      <w:pPr>
        <w:pStyle w:val="BodyText"/>
      </w:pPr>
      <w:r>
        <w:t>Users can refine the entire dashboard using the following slicers located on the left panel:</w:t>
      </w:r>
    </w:p>
    <w:p w14:paraId="784FE925" w14:textId="77777777" w:rsidR="00CA00C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City — </w:t>
      </w:r>
      <w:r>
        <w:rPr>
          <w:sz w:val="21"/>
          <w:szCs w:val="21"/>
        </w:rPr>
        <w:t>Hubli, Hyderabad, Indore, Jabalpur, Jaipur, Jodhpur, Kanpur, Kochi, Kolkata, Kota, Kozhikode, Lucknow, Madurai, Mangalore, Mumbai, and others.</w:t>
      </w:r>
    </w:p>
    <w:p w14:paraId="2CB0263B" w14:textId="77777777" w:rsidR="00CA00C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Gender — </w:t>
      </w:r>
      <w:r>
        <w:rPr>
          <w:sz w:val="21"/>
          <w:szCs w:val="21"/>
        </w:rPr>
        <w:t>Female / Male</w:t>
      </w:r>
    </w:p>
    <w:p w14:paraId="7CB76D96" w14:textId="77777777" w:rsidR="00CA00CF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Merchant Name — </w:t>
      </w:r>
      <w:r>
        <w:rPr>
          <w:sz w:val="21"/>
          <w:szCs w:val="21"/>
        </w:rPr>
        <w:t>Courier, Credit Card Bill, Games, Data Tutorial, DMart, Dominos, Electricity Board, etc.</w:t>
      </w:r>
    </w:p>
    <w:p w14:paraId="23F410A0" w14:textId="77777777" w:rsidR="00CA00C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Merchant Category — </w:t>
      </w:r>
      <w:r>
        <w:rPr>
          <w:sz w:val="21"/>
          <w:szCs w:val="21"/>
        </w:rPr>
        <w:t>Credit Card Bill, Education, Electricity Bill, Entertainment, Financial Services, Food &amp; Dining, Fuel, Grocery, and more.</w:t>
      </w:r>
    </w:p>
    <w:p w14:paraId="652E8AC9" w14:textId="77777777" w:rsidR="00CA00CF" w:rsidRDefault="00000000">
      <w:pPr>
        <w:pStyle w:val="Heading2"/>
      </w:pPr>
      <w:r>
        <w:t>5.2 Visual Analytics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CA00CF" w14:paraId="249B23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458F37DB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Visualization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225EA98C" w14:textId="77777777" w:rsidR="00CA00CF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Business Insight</w:t>
            </w:r>
          </w:p>
        </w:tc>
      </w:tr>
      <w:tr w:rsidR="00CA00CF" w14:paraId="6AB087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A5E05D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Transactions Amount Over Time (Daily)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9D541B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Daily trend and seasonality of transaction value</w:t>
            </w:r>
          </w:p>
        </w:tc>
      </w:tr>
      <w:tr w:rsidR="00CA00CF" w14:paraId="2F7EB6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114FA353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Transactions by UPI App (Donut)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37396259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Market share of PhonePe, Google Pay, Paytm, Amazon Pay, BHIM, Cred, WhatsApp Pay</w:t>
            </w:r>
          </w:p>
        </w:tc>
      </w:tr>
      <w:tr w:rsidR="00CA00CF" w14:paraId="30F4BA2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392D06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Transactions by Status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810DA1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Success / Failed / Pending / Refunded distribution</w:t>
            </w:r>
          </w:p>
        </w:tc>
      </w:tr>
      <w:tr w:rsidR="00CA00CF" w14:paraId="616ADE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3796036B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Amount by State (Map + Ranking)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110E01E1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Geographic performance across Indian states</w:t>
            </w:r>
          </w:p>
        </w:tc>
      </w:tr>
      <w:tr w:rsidR="00CA00CF" w14:paraId="207119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EE10DA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Amount by Bank (Horizontal Bar)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097241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Top banks: HDFC, SBI, Kotak, Canara, ICICI, Axis, BoB, PNB</w:t>
            </w:r>
          </w:p>
        </w:tc>
      </w:tr>
      <w:tr w:rsidR="00CA00CF" w14:paraId="06D173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2DEC474D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Amount by Transaction Type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5C781BDA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P2M, P2P, Bill Payment, Online Shopping, Recharge, Subscription, Wallet Transfer</w:t>
            </w:r>
          </w:p>
        </w:tc>
      </w:tr>
      <w:tr w:rsidR="00CA00CF" w14:paraId="2E535E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5A37DA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Amount by Hour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1D625E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Peak transaction hours throughout the day</w:t>
            </w:r>
          </w:p>
        </w:tc>
      </w:tr>
      <w:tr w:rsidR="00CA00CF" w14:paraId="0FC04E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4F4FEC3D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Amount by Hour &amp; Day (Heatmap)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4826B37B" w14:textId="77777777" w:rsidR="00CA00CF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A202C"/>
              </w:rPr>
              <w:t>Weekly patterns and high-activity time slots</w:t>
            </w:r>
          </w:p>
        </w:tc>
      </w:tr>
    </w:tbl>
    <w:p w14:paraId="5FA09A62" w14:textId="77777777" w:rsidR="00CA00CF" w:rsidRDefault="00000000">
      <w:pPr>
        <w:pStyle w:val="Heading1"/>
      </w:pPr>
      <w:r>
        <w:t>6. Key Insights Derived</w:t>
      </w:r>
    </w:p>
    <w:p w14:paraId="2F4F9BF6" w14:textId="77777777" w:rsidR="00CA00C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App Dominance: </w:t>
      </w:r>
      <w:r>
        <w:rPr>
          <w:sz w:val="22"/>
          <w:szCs w:val="22"/>
        </w:rPr>
        <w:t>PhonePe leads with approximately 45.75% market share, followed by Google Pay (~21.3%) and Paytm (~14.3%).</w:t>
      </w:r>
    </w:p>
    <w:p w14:paraId="1C1EF799" w14:textId="77777777" w:rsidR="00CA00C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Geographic Leadership: </w:t>
      </w:r>
      <w:r>
        <w:rPr>
          <w:sz w:val="22"/>
          <w:szCs w:val="22"/>
        </w:rPr>
        <w:t>Maharashtra records the highest transaction value among states, followed by Karnataka, Delhi, Rajasthan, and Uttar Pradesh.</w:t>
      </w:r>
    </w:p>
    <w:p w14:paraId="6B0D6A24" w14:textId="77777777" w:rsidR="00CA00C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Bank Performance: </w:t>
      </w:r>
      <w:r>
        <w:rPr>
          <w:sz w:val="22"/>
          <w:szCs w:val="22"/>
        </w:rPr>
        <w:t>HDFC Bank processes the largest share of transaction value, with SBI, Kotak Mahindra, Canara Bank, and ICICI Bank also featuring prominently.</w:t>
      </w:r>
    </w:p>
    <w:p w14:paraId="7CADE4CE" w14:textId="77777777" w:rsidR="00CA00C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lastRenderedPageBreak/>
        <w:t xml:space="preserve">Transaction Mix: </w:t>
      </w:r>
      <w:r>
        <w:rPr>
          <w:sz w:val="22"/>
          <w:szCs w:val="22"/>
        </w:rPr>
        <w:t>Person-to-Merchant (P2M) transactions contribute the highest value, significantly ahead of P2P, Bill Payments, and Online Shopping.</w:t>
      </w:r>
    </w:p>
    <w:p w14:paraId="362FAB3F" w14:textId="77777777" w:rsidR="00CA00C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Temporal Patterns: </w:t>
      </w:r>
      <w:r>
        <w:rPr>
          <w:sz w:val="22"/>
          <w:szCs w:val="22"/>
        </w:rPr>
        <w:t>Transaction volume and value rise steadily through the day, peaking in evening hours. The heatmap reveals distinct weekday vs. weekend behavior.</w:t>
      </w:r>
    </w:p>
    <w:p w14:paraId="5DC965D4" w14:textId="77777777" w:rsidR="00CA00C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Reliability: </w:t>
      </w:r>
      <w:r>
        <w:rPr>
          <w:sz w:val="22"/>
          <w:szCs w:val="22"/>
        </w:rPr>
        <w:t>Overall success rate stands at a healthy 91%, while 17,089 transactions are flagged as suspected fraud for further review.</w:t>
      </w:r>
    </w:p>
    <w:p w14:paraId="12545CF8" w14:textId="77777777" w:rsidR="00CA00CF" w:rsidRDefault="00000000">
      <w:pPr>
        <w:pStyle w:val="Heading1"/>
      </w:pPr>
      <w:r>
        <w:t>7. Business Value &amp; Stakeholders</w:t>
      </w:r>
    </w:p>
    <w:p w14:paraId="497F5F99" w14:textId="77777777" w:rsidR="00CA00CF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Operations Teams — </w:t>
      </w:r>
      <w:r>
        <w:rPr>
          <w:sz w:val="22"/>
          <w:szCs w:val="22"/>
        </w:rPr>
        <w:t>Monitor success/failure rates and identify service degradation in near real-time.</w:t>
      </w:r>
    </w:p>
    <w:p w14:paraId="368351B1" w14:textId="77777777" w:rsidR="00CA00CF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Risk &amp; Fraud Teams — </w:t>
      </w:r>
      <w:r>
        <w:rPr>
          <w:sz w:val="22"/>
          <w:szCs w:val="22"/>
        </w:rPr>
        <w:t>Quickly surface anomalous volumes and investigate flagged transactions.</w:t>
      </w:r>
    </w:p>
    <w:p w14:paraId="66E1B65C" w14:textId="77777777" w:rsidR="00CA00CF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Product &amp; Partnership Teams — </w:t>
      </w:r>
      <w:r>
        <w:rPr>
          <w:sz w:val="22"/>
          <w:szCs w:val="22"/>
        </w:rPr>
        <w:t>Understand app-wise and merchant-category performance to guide feature prioritization and partnerships.</w:t>
      </w:r>
    </w:p>
    <w:p w14:paraId="7C1DD710" w14:textId="77777777" w:rsidR="00CA00CF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Leadership &amp; Strategy — </w:t>
      </w:r>
      <w:r>
        <w:rPr>
          <w:sz w:val="22"/>
          <w:szCs w:val="22"/>
        </w:rPr>
        <w:t>Obtain a clear, visual summary of UPI ecosystem health, growth trends, and competitive positioning.</w:t>
      </w:r>
    </w:p>
    <w:p w14:paraId="58F9284E" w14:textId="113CF31C" w:rsidR="00CA00CF" w:rsidRDefault="003E70BB">
      <w:pPr>
        <w:pStyle w:val="Heading1"/>
      </w:pPr>
      <w:r>
        <w:t>8</w:t>
      </w:r>
      <w:r w:rsidR="00000000">
        <w:t>. Conclusion</w:t>
      </w:r>
    </w:p>
    <w:p w14:paraId="698C1013" w14:textId="77777777" w:rsidR="00CA00CF" w:rsidRDefault="00000000">
      <w:pPr>
        <w:pStyle w:val="BodyText"/>
      </w:pPr>
      <w:r>
        <w:t>The UPI Transactions Dashboard successfully consolidates complex transactional data into an intuitive, interactive interface. By combining high-level KPIs with detailed multi-dimensional analysis, it empowers stakeholders to monitor performance, detect risks, and make data-driven decisions with confidence.</w:t>
      </w:r>
    </w:p>
    <w:p w14:paraId="3D519DA4" w14:textId="77777777" w:rsidR="00CA00CF" w:rsidRDefault="00000000">
      <w:pPr>
        <w:pStyle w:val="BodyText"/>
      </w:pPr>
      <w:r>
        <w:t>Built entirely in Excel, the solution remains accessible, portable, and easy to maintain — making it an ideal foundation for further analytics initiatives in the digital payments domain.</w:t>
      </w:r>
    </w:p>
    <w:p w14:paraId="7F197644" w14:textId="77777777" w:rsidR="00CA00CF" w:rsidRDefault="00000000">
      <w:pPr>
        <w:pBdr>
          <w:top w:val="single" w:sz="12" w:space="12" w:color="1A365D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4A5568"/>
        </w:rPr>
        <w:t>— End of Report —</w:t>
      </w:r>
    </w:p>
    <w:sectPr w:rsidR="00CA00CF">
      <w:headerReference w:type="default" r:id="rId7"/>
      <w:footerReference w:type="default" r:id="rId8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0591" w14:textId="77777777" w:rsidR="00C776CA" w:rsidRDefault="00C776CA">
      <w:r>
        <w:separator/>
      </w:r>
    </w:p>
  </w:endnote>
  <w:endnote w:type="continuationSeparator" w:id="0">
    <w:p w14:paraId="3882979E" w14:textId="77777777" w:rsidR="00C776CA" w:rsidRDefault="00C77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9799" w14:textId="77777777" w:rsidR="00CA00CF" w:rsidRDefault="00000000">
    <w:pPr>
      <w:pBdr>
        <w:top w:val="single" w:sz="6" w:space="6" w:color="E2E8F0"/>
      </w:pBdr>
      <w:spacing w:before="80"/>
      <w:jc w:val="center"/>
    </w:pPr>
    <w:r>
      <w:rPr>
        <w:rFonts w:ascii="Calibri" w:eastAsia="Calibri" w:hAnsi="Calibri" w:cs="Calibri"/>
        <w:color w:val="4A5568"/>
        <w:sz w:val="16"/>
        <w:szCs w:val="16"/>
      </w:rPr>
      <w:t xml:space="preserve">Page </w:t>
    </w:r>
    <w:r>
      <w:rPr>
        <w:rFonts w:ascii="Calibri" w:eastAsia="Calibri" w:hAnsi="Calibri" w:cs="Calibri"/>
        <w:color w:val="4A5568"/>
        <w:sz w:val="16"/>
        <w:szCs w:val="16"/>
      </w:rPr>
      <w:fldChar w:fldCharType="begin"/>
    </w:r>
    <w:r>
      <w:rPr>
        <w:rFonts w:ascii="Calibri" w:eastAsia="Calibri" w:hAnsi="Calibri" w:cs="Calibri"/>
        <w:color w:val="4A5568"/>
        <w:sz w:val="16"/>
        <w:szCs w:val="16"/>
      </w:rPr>
      <w:instrText>PAGE</w:instrText>
    </w:r>
    <w:r>
      <w:rPr>
        <w:rFonts w:ascii="Calibri" w:eastAsia="Calibri" w:hAnsi="Calibri" w:cs="Calibri"/>
        <w:color w:val="4A5568"/>
        <w:sz w:val="16"/>
        <w:szCs w:val="16"/>
      </w:rPr>
      <w:fldChar w:fldCharType="separate"/>
    </w:r>
    <w:r w:rsidR="003E70BB">
      <w:rPr>
        <w:rFonts w:ascii="Calibri" w:eastAsia="Calibri" w:hAnsi="Calibri" w:cs="Calibri"/>
        <w:noProof/>
        <w:color w:val="4A5568"/>
        <w:sz w:val="16"/>
        <w:szCs w:val="16"/>
      </w:rPr>
      <w:t>1</w:t>
    </w:r>
    <w:r>
      <w:rPr>
        <w:rFonts w:ascii="Calibri" w:eastAsia="Calibri" w:hAnsi="Calibri" w:cs="Calibri"/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2AADB" w14:textId="77777777" w:rsidR="00C776CA" w:rsidRDefault="00C776CA">
      <w:r>
        <w:separator/>
      </w:r>
    </w:p>
  </w:footnote>
  <w:footnote w:type="continuationSeparator" w:id="0">
    <w:p w14:paraId="14792E3A" w14:textId="77777777" w:rsidR="00C776CA" w:rsidRDefault="00C77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BB865" w14:textId="77777777" w:rsidR="00CA00CF" w:rsidRDefault="00000000">
    <w:pPr>
      <w:pBdr>
        <w:bottom w:val="single" w:sz="12" w:space="8" w:color="1A365D"/>
      </w:pBdr>
      <w:spacing w:after="120"/>
    </w:pPr>
    <w:r>
      <w:rPr>
        <w:rFonts w:ascii="Calibri" w:eastAsia="Calibri" w:hAnsi="Calibri" w:cs="Calibri"/>
        <w:color w:val="4A5568"/>
        <w:sz w:val="18"/>
        <w:szCs w:val="18"/>
      </w:rPr>
      <w:t>UPI Transactions Dashboard  |  Project Report                                                                                          Business Intelligence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5E4"/>
    <w:multiLevelType w:val="hybridMultilevel"/>
    <w:tmpl w:val="2AE4BF9E"/>
    <w:lvl w:ilvl="0" w:tplc="B422EF30">
      <w:start w:val="1"/>
      <w:numFmt w:val="bullet"/>
      <w:lvlText w:val="•"/>
      <w:lvlJc w:val="left"/>
      <w:pPr>
        <w:ind w:left="720" w:hanging="360"/>
      </w:pPr>
    </w:lvl>
    <w:lvl w:ilvl="1" w:tplc="AC04B8AE">
      <w:numFmt w:val="decimal"/>
      <w:lvlText w:val=""/>
      <w:lvlJc w:val="left"/>
    </w:lvl>
    <w:lvl w:ilvl="2" w:tplc="6A444A2A">
      <w:numFmt w:val="decimal"/>
      <w:lvlText w:val=""/>
      <w:lvlJc w:val="left"/>
    </w:lvl>
    <w:lvl w:ilvl="3" w:tplc="995251E6">
      <w:numFmt w:val="decimal"/>
      <w:lvlText w:val=""/>
      <w:lvlJc w:val="left"/>
    </w:lvl>
    <w:lvl w:ilvl="4" w:tplc="7416E3BC">
      <w:numFmt w:val="decimal"/>
      <w:lvlText w:val=""/>
      <w:lvlJc w:val="left"/>
    </w:lvl>
    <w:lvl w:ilvl="5" w:tplc="69D69402">
      <w:numFmt w:val="decimal"/>
      <w:lvlText w:val=""/>
      <w:lvlJc w:val="left"/>
    </w:lvl>
    <w:lvl w:ilvl="6" w:tplc="B2A4AEFA">
      <w:numFmt w:val="decimal"/>
      <w:lvlText w:val=""/>
      <w:lvlJc w:val="left"/>
    </w:lvl>
    <w:lvl w:ilvl="7" w:tplc="3C90E656">
      <w:numFmt w:val="decimal"/>
      <w:lvlText w:val=""/>
      <w:lvlJc w:val="left"/>
    </w:lvl>
    <w:lvl w:ilvl="8" w:tplc="FD3C7CAE">
      <w:numFmt w:val="decimal"/>
      <w:lvlText w:val=""/>
      <w:lvlJc w:val="left"/>
    </w:lvl>
  </w:abstractNum>
  <w:abstractNum w:abstractNumId="1" w15:restartNumberingAfterBreak="0">
    <w:nsid w:val="169E6190"/>
    <w:multiLevelType w:val="hybridMultilevel"/>
    <w:tmpl w:val="4B04676A"/>
    <w:lvl w:ilvl="0" w:tplc="C8E81BD6">
      <w:start w:val="1"/>
      <w:numFmt w:val="decimal"/>
      <w:lvlText w:val="%1."/>
      <w:lvlJc w:val="left"/>
      <w:pPr>
        <w:ind w:left="720" w:hanging="360"/>
      </w:pPr>
    </w:lvl>
    <w:lvl w:ilvl="1" w:tplc="5DFA97A2">
      <w:numFmt w:val="decimal"/>
      <w:lvlText w:val=""/>
      <w:lvlJc w:val="left"/>
    </w:lvl>
    <w:lvl w:ilvl="2" w:tplc="A7E48A1A">
      <w:numFmt w:val="decimal"/>
      <w:lvlText w:val=""/>
      <w:lvlJc w:val="left"/>
    </w:lvl>
    <w:lvl w:ilvl="3" w:tplc="B1CC8266">
      <w:numFmt w:val="decimal"/>
      <w:lvlText w:val=""/>
      <w:lvlJc w:val="left"/>
    </w:lvl>
    <w:lvl w:ilvl="4" w:tplc="16D8DEE0">
      <w:numFmt w:val="decimal"/>
      <w:lvlText w:val=""/>
      <w:lvlJc w:val="left"/>
    </w:lvl>
    <w:lvl w:ilvl="5" w:tplc="D7C2BDC4">
      <w:numFmt w:val="decimal"/>
      <w:lvlText w:val=""/>
      <w:lvlJc w:val="left"/>
    </w:lvl>
    <w:lvl w:ilvl="6" w:tplc="B2CE39DE">
      <w:numFmt w:val="decimal"/>
      <w:lvlText w:val=""/>
      <w:lvlJc w:val="left"/>
    </w:lvl>
    <w:lvl w:ilvl="7" w:tplc="6D86486C">
      <w:numFmt w:val="decimal"/>
      <w:lvlText w:val=""/>
      <w:lvlJc w:val="left"/>
    </w:lvl>
    <w:lvl w:ilvl="8" w:tplc="BF7EF4AE">
      <w:numFmt w:val="decimal"/>
      <w:lvlText w:val=""/>
      <w:lvlJc w:val="left"/>
    </w:lvl>
  </w:abstractNum>
  <w:abstractNum w:abstractNumId="2" w15:restartNumberingAfterBreak="0">
    <w:nsid w:val="23715BC8"/>
    <w:multiLevelType w:val="hybridMultilevel"/>
    <w:tmpl w:val="87D8CB54"/>
    <w:lvl w:ilvl="0" w:tplc="E12CE26A">
      <w:start w:val="1"/>
      <w:numFmt w:val="bullet"/>
      <w:lvlText w:val="•"/>
      <w:lvlJc w:val="left"/>
      <w:pPr>
        <w:ind w:left="720" w:hanging="360"/>
      </w:pPr>
    </w:lvl>
    <w:lvl w:ilvl="1" w:tplc="B114D62C">
      <w:numFmt w:val="decimal"/>
      <w:lvlText w:val=""/>
      <w:lvlJc w:val="left"/>
    </w:lvl>
    <w:lvl w:ilvl="2" w:tplc="F104B038">
      <w:numFmt w:val="decimal"/>
      <w:lvlText w:val=""/>
      <w:lvlJc w:val="left"/>
    </w:lvl>
    <w:lvl w:ilvl="3" w:tplc="C1E4FEF4">
      <w:numFmt w:val="decimal"/>
      <w:lvlText w:val=""/>
      <w:lvlJc w:val="left"/>
    </w:lvl>
    <w:lvl w:ilvl="4" w:tplc="987C3F1C">
      <w:numFmt w:val="decimal"/>
      <w:lvlText w:val=""/>
      <w:lvlJc w:val="left"/>
    </w:lvl>
    <w:lvl w:ilvl="5" w:tplc="7C1007E6">
      <w:numFmt w:val="decimal"/>
      <w:lvlText w:val=""/>
      <w:lvlJc w:val="left"/>
    </w:lvl>
    <w:lvl w:ilvl="6" w:tplc="8470326E">
      <w:numFmt w:val="decimal"/>
      <w:lvlText w:val=""/>
      <w:lvlJc w:val="left"/>
    </w:lvl>
    <w:lvl w:ilvl="7" w:tplc="3468F646">
      <w:numFmt w:val="decimal"/>
      <w:lvlText w:val=""/>
      <w:lvlJc w:val="left"/>
    </w:lvl>
    <w:lvl w:ilvl="8" w:tplc="790AFC8C">
      <w:numFmt w:val="decimal"/>
      <w:lvlText w:val=""/>
      <w:lvlJc w:val="left"/>
    </w:lvl>
  </w:abstractNum>
  <w:abstractNum w:abstractNumId="3" w15:restartNumberingAfterBreak="0">
    <w:nsid w:val="482E5947"/>
    <w:multiLevelType w:val="hybridMultilevel"/>
    <w:tmpl w:val="6BCCE4AE"/>
    <w:lvl w:ilvl="0" w:tplc="AD5E8474">
      <w:start w:val="1"/>
      <w:numFmt w:val="bullet"/>
      <w:lvlText w:val="•"/>
      <w:lvlJc w:val="left"/>
      <w:pPr>
        <w:ind w:left="720" w:hanging="360"/>
      </w:pPr>
    </w:lvl>
    <w:lvl w:ilvl="1" w:tplc="FCF033F0">
      <w:numFmt w:val="decimal"/>
      <w:lvlText w:val=""/>
      <w:lvlJc w:val="left"/>
    </w:lvl>
    <w:lvl w:ilvl="2" w:tplc="DA5CACBE">
      <w:numFmt w:val="decimal"/>
      <w:lvlText w:val=""/>
      <w:lvlJc w:val="left"/>
    </w:lvl>
    <w:lvl w:ilvl="3" w:tplc="69B4AF2A">
      <w:numFmt w:val="decimal"/>
      <w:lvlText w:val=""/>
      <w:lvlJc w:val="left"/>
    </w:lvl>
    <w:lvl w:ilvl="4" w:tplc="559EE0BE">
      <w:numFmt w:val="decimal"/>
      <w:lvlText w:val=""/>
      <w:lvlJc w:val="left"/>
    </w:lvl>
    <w:lvl w:ilvl="5" w:tplc="5AF629DE">
      <w:numFmt w:val="decimal"/>
      <w:lvlText w:val=""/>
      <w:lvlJc w:val="left"/>
    </w:lvl>
    <w:lvl w:ilvl="6" w:tplc="B5842BD0">
      <w:numFmt w:val="decimal"/>
      <w:lvlText w:val=""/>
      <w:lvlJc w:val="left"/>
    </w:lvl>
    <w:lvl w:ilvl="7" w:tplc="18CE05A0">
      <w:numFmt w:val="decimal"/>
      <w:lvlText w:val=""/>
      <w:lvlJc w:val="left"/>
    </w:lvl>
    <w:lvl w:ilvl="8" w:tplc="45462532">
      <w:numFmt w:val="decimal"/>
      <w:lvlText w:val=""/>
      <w:lvlJc w:val="left"/>
    </w:lvl>
  </w:abstractNum>
  <w:abstractNum w:abstractNumId="4" w15:restartNumberingAfterBreak="0">
    <w:nsid w:val="53CE3CEB"/>
    <w:multiLevelType w:val="hybridMultilevel"/>
    <w:tmpl w:val="73CE02FE"/>
    <w:lvl w:ilvl="0" w:tplc="1BC81A32">
      <w:start w:val="1"/>
      <w:numFmt w:val="bullet"/>
      <w:lvlText w:val="•"/>
      <w:lvlJc w:val="left"/>
      <w:pPr>
        <w:ind w:left="720" w:hanging="360"/>
      </w:pPr>
    </w:lvl>
    <w:lvl w:ilvl="1" w:tplc="6DBAEC36">
      <w:numFmt w:val="decimal"/>
      <w:lvlText w:val=""/>
      <w:lvlJc w:val="left"/>
    </w:lvl>
    <w:lvl w:ilvl="2" w:tplc="72300DC2">
      <w:numFmt w:val="decimal"/>
      <w:lvlText w:val=""/>
      <w:lvlJc w:val="left"/>
    </w:lvl>
    <w:lvl w:ilvl="3" w:tplc="44A8479C">
      <w:numFmt w:val="decimal"/>
      <w:lvlText w:val=""/>
      <w:lvlJc w:val="left"/>
    </w:lvl>
    <w:lvl w:ilvl="4" w:tplc="C1C890F6">
      <w:numFmt w:val="decimal"/>
      <w:lvlText w:val=""/>
      <w:lvlJc w:val="left"/>
    </w:lvl>
    <w:lvl w:ilvl="5" w:tplc="BD92440C">
      <w:numFmt w:val="decimal"/>
      <w:lvlText w:val=""/>
      <w:lvlJc w:val="left"/>
    </w:lvl>
    <w:lvl w:ilvl="6" w:tplc="D294FC86">
      <w:numFmt w:val="decimal"/>
      <w:lvlText w:val=""/>
      <w:lvlJc w:val="left"/>
    </w:lvl>
    <w:lvl w:ilvl="7" w:tplc="3F3652B0">
      <w:numFmt w:val="decimal"/>
      <w:lvlText w:val=""/>
      <w:lvlJc w:val="left"/>
    </w:lvl>
    <w:lvl w:ilvl="8" w:tplc="8DAC7F20">
      <w:numFmt w:val="decimal"/>
      <w:lvlText w:val=""/>
      <w:lvlJc w:val="left"/>
    </w:lvl>
  </w:abstractNum>
  <w:abstractNum w:abstractNumId="5" w15:restartNumberingAfterBreak="0">
    <w:nsid w:val="5DC75761"/>
    <w:multiLevelType w:val="hybridMultilevel"/>
    <w:tmpl w:val="B874C234"/>
    <w:lvl w:ilvl="0" w:tplc="FEFEFDA4">
      <w:start w:val="1"/>
      <w:numFmt w:val="bullet"/>
      <w:lvlText w:val="•"/>
      <w:lvlJc w:val="left"/>
      <w:pPr>
        <w:ind w:left="720" w:hanging="360"/>
      </w:pPr>
    </w:lvl>
    <w:lvl w:ilvl="1" w:tplc="27844FC6">
      <w:numFmt w:val="decimal"/>
      <w:lvlText w:val=""/>
      <w:lvlJc w:val="left"/>
    </w:lvl>
    <w:lvl w:ilvl="2" w:tplc="E0603CE0">
      <w:numFmt w:val="decimal"/>
      <w:lvlText w:val=""/>
      <w:lvlJc w:val="left"/>
    </w:lvl>
    <w:lvl w:ilvl="3" w:tplc="F06AC6F6">
      <w:numFmt w:val="decimal"/>
      <w:lvlText w:val=""/>
      <w:lvlJc w:val="left"/>
    </w:lvl>
    <w:lvl w:ilvl="4" w:tplc="7AB04710">
      <w:numFmt w:val="decimal"/>
      <w:lvlText w:val=""/>
      <w:lvlJc w:val="left"/>
    </w:lvl>
    <w:lvl w:ilvl="5" w:tplc="AE661CA0">
      <w:numFmt w:val="decimal"/>
      <w:lvlText w:val=""/>
      <w:lvlJc w:val="left"/>
    </w:lvl>
    <w:lvl w:ilvl="6" w:tplc="69E4B3D6">
      <w:numFmt w:val="decimal"/>
      <w:lvlText w:val=""/>
      <w:lvlJc w:val="left"/>
    </w:lvl>
    <w:lvl w:ilvl="7" w:tplc="B3AA2B92">
      <w:numFmt w:val="decimal"/>
      <w:lvlText w:val=""/>
      <w:lvlJc w:val="left"/>
    </w:lvl>
    <w:lvl w:ilvl="8" w:tplc="CAAE1550">
      <w:numFmt w:val="decimal"/>
      <w:lvlText w:val=""/>
      <w:lvlJc w:val="left"/>
    </w:lvl>
  </w:abstractNum>
  <w:abstractNum w:abstractNumId="6" w15:restartNumberingAfterBreak="0">
    <w:nsid w:val="77F00ED0"/>
    <w:multiLevelType w:val="hybridMultilevel"/>
    <w:tmpl w:val="0AF6FE6A"/>
    <w:lvl w:ilvl="0" w:tplc="E3DC34A2">
      <w:start w:val="1"/>
      <w:numFmt w:val="bullet"/>
      <w:lvlText w:val="●"/>
      <w:lvlJc w:val="left"/>
      <w:pPr>
        <w:ind w:left="720" w:hanging="360"/>
      </w:pPr>
    </w:lvl>
    <w:lvl w:ilvl="1" w:tplc="9ED038DE">
      <w:start w:val="1"/>
      <w:numFmt w:val="bullet"/>
      <w:lvlText w:val="○"/>
      <w:lvlJc w:val="left"/>
      <w:pPr>
        <w:ind w:left="1440" w:hanging="360"/>
      </w:pPr>
    </w:lvl>
    <w:lvl w:ilvl="2" w:tplc="037E52DE">
      <w:start w:val="1"/>
      <w:numFmt w:val="bullet"/>
      <w:lvlText w:val="■"/>
      <w:lvlJc w:val="left"/>
      <w:pPr>
        <w:ind w:left="2160" w:hanging="360"/>
      </w:pPr>
    </w:lvl>
    <w:lvl w:ilvl="3" w:tplc="96B41F52">
      <w:start w:val="1"/>
      <w:numFmt w:val="bullet"/>
      <w:lvlText w:val="●"/>
      <w:lvlJc w:val="left"/>
      <w:pPr>
        <w:ind w:left="2880" w:hanging="360"/>
      </w:pPr>
    </w:lvl>
    <w:lvl w:ilvl="4" w:tplc="0BDC7768">
      <w:start w:val="1"/>
      <w:numFmt w:val="bullet"/>
      <w:lvlText w:val="○"/>
      <w:lvlJc w:val="left"/>
      <w:pPr>
        <w:ind w:left="3600" w:hanging="360"/>
      </w:pPr>
    </w:lvl>
    <w:lvl w:ilvl="5" w:tplc="2EA4CDB2">
      <w:start w:val="1"/>
      <w:numFmt w:val="bullet"/>
      <w:lvlText w:val="■"/>
      <w:lvlJc w:val="left"/>
      <w:pPr>
        <w:ind w:left="4320" w:hanging="360"/>
      </w:pPr>
    </w:lvl>
    <w:lvl w:ilvl="6" w:tplc="C6986B76">
      <w:start w:val="1"/>
      <w:numFmt w:val="bullet"/>
      <w:lvlText w:val="●"/>
      <w:lvlJc w:val="left"/>
      <w:pPr>
        <w:ind w:left="5040" w:hanging="360"/>
      </w:pPr>
    </w:lvl>
    <w:lvl w:ilvl="7" w:tplc="2B2C94AC">
      <w:start w:val="1"/>
      <w:numFmt w:val="bullet"/>
      <w:lvlText w:val="●"/>
      <w:lvlJc w:val="left"/>
      <w:pPr>
        <w:ind w:left="5760" w:hanging="360"/>
      </w:pPr>
    </w:lvl>
    <w:lvl w:ilvl="8" w:tplc="0968190C">
      <w:start w:val="1"/>
      <w:numFmt w:val="bullet"/>
      <w:lvlText w:val="●"/>
      <w:lvlJc w:val="left"/>
      <w:pPr>
        <w:ind w:left="6480" w:hanging="360"/>
      </w:pPr>
    </w:lvl>
  </w:abstractNum>
  <w:num w:numId="1" w16cid:durableId="743189470">
    <w:abstractNumId w:val="6"/>
    <w:lvlOverride w:ilvl="0">
      <w:startOverride w:val="1"/>
    </w:lvlOverride>
  </w:num>
  <w:num w:numId="2" w16cid:durableId="1502501302">
    <w:abstractNumId w:val="2"/>
    <w:lvlOverride w:ilvl="0">
      <w:startOverride w:val="1"/>
    </w:lvlOverride>
  </w:num>
  <w:num w:numId="3" w16cid:durableId="523788460">
    <w:abstractNumId w:val="3"/>
    <w:lvlOverride w:ilvl="0">
      <w:startOverride w:val="1"/>
    </w:lvlOverride>
  </w:num>
  <w:num w:numId="4" w16cid:durableId="1602832047">
    <w:abstractNumId w:val="0"/>
    <w:lvlOverride w:ilvl="0">
      <w:startOverride w:val="1"/>
    </w:lvlOverride>
  </w:num>
  <w:num w:numId="5" w16cid:durableId="1741370272">
    <w:abstractNumId w:val="4"/>
    <w:lvlOverride w:ilvl="0">
      <w:startOverride w:val="1"/>
    </w:lvlOverride>
  </w:num>
  <w:num w:numId="6" w16cid:durableId="1486319314">
    <w:abstractNumId w:val="1"/>
    <w:lvlOverride w:ilvl="0">
      <w:startOverride w:val="1"/>
    </w:lvlOverride>
  </w:num>
  <w:num w:numId="7" w16cid:durableId="33542596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0CF"/>
    <w:rsid w:val="003E70BB"/>
    <w:rsid w:val="006A5C28"/>
    <w:rsid w:val="00C1622D"/>
    <w:rsid w:val="00C776CA"/>
    <w:rsid w:val="00CA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83A7"/>
  <w15:docId w15:val="{885E9C9C-3E04-447B-8F0C-D1AE5336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rFonts w:ascii="Calibri" w:eastAsia="Calibri" w:hAnsi="Calibri" w:cs="Calibri"/>
      <w:b/>
      <w:bCs/>
      <w:color w:val="1A365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ascii="Calibri" w:eastAsia="Calibri" w:hAnsi="Calibri" w:cs="Calibri"/>
      <w:b/>
      <w:bCs/>
      <w:color w:val="2B6CB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rFonts w:ascii="Calibri" w:eastAsia="Calibri" w:hAnsi="Calibri" w:cs="Calibri"/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pPr>
      <w:spacing w:after="120" w:line="276" w:lineRule="auto"/>
      <w:jc w:val="both"/>
    </w:pPr>
    <w:rPr>
      <w:rFonts w:ascii="Calibri" w:eastAsia="Calibri" w:hAnsi="Calibri" w:cs="Calibri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Adrij Das</cp:lastModifiedBy>
  <cp:revision>3</cp:revision>
  <dcterms:created xsi:type="dcterms:W3CDTF">2026-09-05T17:37:00Z</dcterms:created>
  <dcterms:modified xsi:type="dcterms:W3CDTF">2026-09-05T17:35:00Z</dcterms:modified>
</cp:coreProperties>
</file>