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3F5DA" w14:textId="77777777" w:rsidR="00B13494" w:rsidRPr="003B4152" w:rsidRDefault="00000000">
      <w:pPr>
        <w:spacing w:before="40" w:after="30"/>
        <w:jc w:val="center"/>
        <w:rPr>
          <w:rFonts w:ascii="Calibri" w:eastAsia="Calibri" w:hAnsi="Calibri" w:cs="Calibri"/>
          <w:b/>
          <w:bCs/>
          <w:color w:val="4A5568"/>
        </w:rPr>
      </w:pPr>
      <w:r w:rsidRPr="003B4152">
        <w:rPr>
          <w:rFonts w:ascii="Calibri" w:eastAsia="Calibri" w:hAnsi="Calibri" w:cs="Calibri"/>
          <w:b/>
          <w:bCs/>
          <w:color w:val="4A5568"/>
        </w:rPr>
        <w:t>PROJECT REPORT</w:t>
      </w:r>
    </w:p>
    <w:p w14:paraId="05FEE842" w14:textId="70323C44" w:rsidR="003B4152" w:rsidRPr="003B4152" w:rsidRDefault="003B4152">
      <w:pPr>
        <w:spacing w:before="40" w:after="30"/>
        <w:jc w:val="center"/>
        <w:rPr>
          <w:i/>
          <w:iCs/>
        </w:rPr>
      </w:pPr>
      <w:r w:rsidRPr="003B4152">
        <w:rPr>
          <w:rFonts w:ascii="Calibri" w:eastAsia="Calibri" w:hAnsi="Calibri" w:cs="Calibri"/>
          <w:i/>
          <w:iCs/>
          <w:color w:val="4A5568"/>
          <w:sz w:val="18"/>
          <w:szCs w:val="18"/>
        </w:rPr>
        <w:t>By Adrij Das</w:t>
      </w:r>
    </w:p>
    <w:p w14:paraId="298B83CA" w14:textId="77777777" w:rsidR="00B13494" w:rsidRDefault="00000000">
      <w:pPr>
        <w:spacing w:after="30"/>
        <w:jc w:val="center"/>
      </w:pPr>
      <w:r>
        <w:rPr>
          <w:rFonts w:ascii="Calibri" w:eastAsia="Calibri" w:hAnsi="Calibri" w:cs="Calibri"/>
          <w:b/>
          <w:bCs/>
          <w:color w:val="1A365D"/>
          <w:sz w:val="34"/>
          <w:szCs w:val="34"/>
        </w:rPr>
        <w:t>UPI Transactions Dashboard</w:t>
      </w:r>
    </w:p>
    <w:p w14:paraId="684B9CD2" w14:textId="77777777" w:rsidR="00B13494" w:rsidRDefault="00000000">
      <w:pPr>
        <w:spacing w:after="100"/>
        <w:jc w:val="center"/>
      </w:pPr>
      <w:r>
        <w:rPr>
          <w:rFonts w:ascii="Calibri" w:eastAsia="Calibri" w:hAnsi="Calibri" w:cs="Calibri"/>
          <w:i/>
          <w:iCs/>
          <w:color w:val="4A5568"/>
          <w:sz w:val="17"/>
          <w:szCs w:val="17"/>
        </w:rPr>
        <w:t>Real-Time Analytical Overview of Unified Payments Interface Transactions</w:t>
      </w:r>
    </w:p>
    <w:p w14:paraId="37CC0639" w14:textId="77777777" w:rsidR="00B13494" w:rsidRDefault="00000000">
      <w:pPr>
        <w:spacing w:before="40" w:after="30"/>
        <w:jc w:val="center"/>
      </w:pPr>
      <w:r>
        <w:rPr>
          <w:noProof/>
        </w:rPr>
        <w:drawing>
          <wp:inline distT="0" distB="0" distL="0" distR="0" wp14:anchorId="6024DC98" wp14:editId="012FA736">
            <wp:extent cx="4953000" cy="2828925"/>
            <wp:effectExtent l="0" t="0" r="0" b="0"/>
            <wp:docPr id="1" name="dashboard" descr="UPI Transactions Dashboard screenshot"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828925"/>
                    </a:xfrm>
                    <a:prstGeom prst="rect">
                      <a:avLst/>
                    </a:prstGeom>
                  </pic:spPr>
                </pic:pic>
              </a:graphicData>
            </a:graphic>
          </wp:inline>
        </w:drawing>
      </w:r>
    </w:p>
    <w:p w14:paraId="29177BB2" w14:textId="77777777" w:rsidR="00B13494" w:rsidRDefault="00000000">
      <w:pPr>
        <w:spacing w:after="140"/>
        <w:jc w:val="center"/>
      </w:pPr>
      <w:r>
        <w:rPr>
          <w:rFonts w:ascii="Calibri" w:eastAsia="Calibri" w:hAnsi="Calibri" w:cs="Calibri"/>
          <w:i/>
          <w:iCs/>
          <w:color w:val="4A5568"/>
          <w:sz w:val="15"/>
          <w:szCs w:val="15"/>
        </w:rPr>
        <w:t>Figure 1: UPI Transactions Dashboard</w:t>
      </w:r>
    </w:p>
    <w:p w14:paraId="04F11DFB" w14:textId="77777777" w:rsidR="00B13494" w:rsidRDefault="00000000">
      <w:pPr>
        <w:pStyle w:val="Heading1"/>
      </w:pPr>
      <w:r>
        <w:t>1. Introduction</w:t>
      </w:r>
    </w:p>
    <w:p w14:paraId="3117D025" w14:textId="77777777" w:rsidR="00B13494" w:rsidRDefault="00000000">
      <w:pPr>
        <w:pStyle w:val="BodyText"/>
      </w:pPr>
      <w:r>
        <w:t>The Unified Payments Interface (UPI) has transformed digital payments in India by enabling real-time bank-to-bank transfers through mobile applications. This project presents an interactive Excel dashboard that provides a clear overview of UPI transaction performance. It consolidates key metrics, geographic distribution, app market share, bank performance, temporal patterns, and fraud indicators into a single interface for effective monitoring and decision-making.</w:t>
      </w:r>
    </w:p>
    <w:p w14:paraId="7998EA7D" w14:textId="77777777" w:rsidR="00B13494" w:rsidRDefault="00000000">
      <w:pPr>
        <w:pStyle w:val="Heading1"/>
      </w:pPr>
      <w:r>
        <w:t>2. Objectives</w:t>
      </w:r>
    </w:p>
    <w:p w14:paraId="7A68AF73" w14:textId="77777777" w:rsidR="00B13494" w:rsidRDefault="00000000">
      <w:pPr>
        <w:pStyle w:val="ListParagraph"/>
        <w:numPr>
          <w:ilvl w:val="0"/>
          <w:numId w:val="2"/>
        </w:numPr>
        <w:spacing w:after="40"/>
      </w:pPr>
      <w:r>
        <w:rPr>
          <w:sz w:val="21"/>
          <w:szCs w:val="21"/>
        </w:rPr>
        <w:t>Provide a real-time overview of UPI transaction volume, value, success rate, cashback, and fraud.</w:t>
      </w:r>
    </w:p>
    <w:p w14:paraId="1D1FBA4D" w14:textId="77777777" w:rsidR="00B13494" w:rsidRDefault="00000000">
      <w:pPr>
        <w:pStyle w:val="ListParagraph"/>
        <w:numPr>
          <w:ilvl w:val="0"/>
          <w:numId w:val="2"/>
        </w:numPr>
        <w:spacing w:after="40"/>
      </w:pPr>
      <w:r>
        <w:rPr>
          <w:sz w:val="21"/>
          <w:szCs w:val="21"/>
        </w:rPr>
        <w:t>Enable interactive filtering by City, Gender, Merchant Name, and Merchant Category.</w:t>
      </w:r>
    </w:p>
    <w:p w14:paraId="653AE89F" w14:textId="77777777" w:rsidR="00B13494" w:rsidRDefault="00000000">
      <w:pPr>
        <w:pStyle w:val="ListParagraph"/>
        <w:numPr>
          <w:ilvl w:val="0"/>
          <w:numId w:val="2"/>
        </w:numPr>
        <w:spacing w:after="40"/>
      </w:pPr>
      <w:r>
        <w:rPr>
          <w:sz w:val="21"/>
          <w:szCs w:val="21"/>
        </w:rPr>
        <w:t>Analyze performance across UPI apps, banks, states, transaction types, and time periods.</w:t>
      </w:r>
    </w:p>
    <w:p w14:paraId="1FFB14FF" w14:textId="77777777" w:rsidR="00B13494" w:rsidRDefault="00000000">
      <w:pPr>
        <w:pStyle w:val="ListParagraph"/>
        <w:numPr>
          <w:ilvl w:val="0"/>
          <w:numId w:val="2"/>
        </w:numPr>
        <w:spacing w:after="40"/>
      </w:pPr>
      <w:r>
        <w:rPr>
          <w:sz w:val="21"/>
          <w:szCs w:val="21"/>
        </w:rPr>
        <w:t>Support operational monitoring and risk identification through visual analytics.</w:t>
      </w:r>
    </w:p>
    <w:p w14:paraId="7E61506D" w14:textId="77777777" w:rsidR="00B13494" w:rsidRDefault="00000000">
      <w:pPr>
        <w:pStyle w:val="Heading1"/>
      </w:pPr>
      <w:r>
        <w:t>3. Tools Used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B13494" w14:paraId="7E88471B" w14:textId="77777777">
        <w:tc>
          <w:tcPr>
            <w:tcW w:w="3000" w:type="dxa"/>
            <w:tcBorders>
              <w:top w:val="single" w:sz="4" w:space="0" w:color="E2E8F0"/>
              <w:left w:val="single" w:sz="4" w:space="0" w:color="E2E8F0"/>
              <w:bottom w:val="single" w:sz="4" w:space="0" w:color="E2E8F0"/>
              <w:right w:val="single" w:sz="4" w:space="0" w:color="E2E8F0"/>
            </w:tcBorders>
            <w:shd w:val="clear" w:color="auto" w:fill="1A365D"/>
          </w:tcPr>
          <w:p w14:paraId="765764F9" w14:textId="77777777" w:rsidR="00B13494" w:rsidRDefault="00000000">
            <w:pPr>
              <w:spacing w:before="50" w:after="50"/>
              <w:jc w:val="center"/>
            </w:pPr>
            <w:r>
              <w:rPr>
                <w:rFonts w:ascii="Calibri" w:eastAsia="Calibri" w:hAnsi="Calibri" w:cs="Calibri"/>
                <w:b/>
                <w:bCs/>
                <w:color w:val="FFFFFF"/>
                <w:sz w:val="18"/>
                <w:szCs w:val="18"/>
              </w:rPr>
              <w:t>Tool</w:t>
            </w:r>
          </w:p>
        </w:tc>
        <w:tc>
          <w:tcPr>
            <w:tcW w:w="6200" w:type="dxa"/>
            <w:tcBorders>
              <w:top w:val="single" w:sz="4" w:space="0" w:color="E2E8F0"/>
              <w:left w:val="single" w:sz="4" w:space="0" w:color="E2E8F0"/>
              <w:bottom w:val="single" w:sz="4" w:space="0" w:color="E2E8F0"/>
              <w:right w:val="single" w:sz="4" w:space="0" w:color="E2E8F0"/>
            </w:tcBorders>
            <w:shd w:val="clear" w:color="auto" w:fill="1A365D"/>
          </w:tcPr>
          <w:p w14:paraId="11C99C92" w14:textId="77777777" w:rsidR="00B13494" w:rsidRDefault="00000000">
            <w:pPr>
              <w:spacing w:before="50" w:after="50"/>
              <w:jc w:val="center"/>
            </w:pPr>
            <w:r>
              <w:rPr>
                <w:rFonts w:ascii="Calibri" w:eastAsia="Calibri" w:hAnsi="Calibri" w:cs="Calibri"/>
                <w:b/>
                <w:bCs/>
                <w:color w:val="FFFFFF"/>
                <w:sz w:val="18"/>
                <w:szCs w:val="18"/>
              </w:rPr>
              <w:t>Purpose</w:t>
            </w:r>
          </w:p>
        </w:tc>
      </w:tr>
      <w:tr w:rsidR="00B13494" w14:paraId="404AEFC3" w14:textId="77777777">
        <w:tc>
          <w:tcPr>
            <w:tcW w:w="3000" w:type="dxa"/>
            <w:tcBorders>
              <w:top w:val="single" w:sz="4" w:space="0" w:color="E2E8F0"/>
              <w:left w:val="single" w:sz="4" w:space="0" w:color="E2E8F0"/>
              <w:bottom w:val="single" w:sz="4" w:space="0" w:color="E2E8F0"/>
              <w:right w:val="single" w:sz="4" w:space="0" w:color="E2E8F0"/>
            </w:tcBorders>
          </w:tcPr>
          <w:p w14:paraId="4D1CCE3E" w14:textId="77777777" w:rsidR="00B13494" w:rsidRDefault="00000000">
            <w:pPr>
              <w:spacing w:before="50" w:after="50"/>
            </w:pPr>
            <w:r>
              <w:rPr>
                <w:rFonts w:ascii="Calibri" w:eastAsia="Calibri" w:hAnsi="Calibri" w:cs="Calibri"/>
                <w:b/>
                <w:bCs/>
                <w:color w:val="1A202C"/>
              </w:rPr>
              <w:t>Microsoft Excel</w:t>
            </w:r>
          </w:p>
        </w:tc>
        <w:tc>
          <w:tcPr>
            <w:tcW w:w="6200" w:type="dxa"/>
            <w:tcBorders>
              <w:top w:val="single" w:sz="4" w:space="0" w:color="E2E8F0"/>
              <w:left w:val="single" w:sz="4" w:space="0" w:color="E2E8F0"/>
              <w:bottom w:val="single" w:sz="4" w:space="0" w:color="E2E8F0"/>
              <w:right w:val="single" w:sz="4" w:space="0" w:color="E2E8F0"/>
            </w:tcBorders>
          </w:tcPr>
          <w:p w14:paraId="65210F0A" w14:textId="77777777" w:rsidR="00B13494" w:rsidRDefault="00000000">
            <w:pPr>
              <w:spacing w:before="50" w:after="50"/>
            </w:pPr>
            <w:r>
              <w:rPr>
                <w:rFonts w:ascii="Calibri" w:eastAsia="Calibri" w:hAnsi="Calibri" w:cs="Calibri"/>
                <w:color w:val="1A202C"/>
              </w:rPr>
              <w:t>Data modeling and interactive dashboard</w:t>
            </w:r>
          </w:p>
        </w:tc>
      </w:tr>
      <w:tr w:rsidR="00B13494" w14:paraId="4C845177" w14:textId="77777777">
        <w:tc>
          <w:tcPr>
            <w:tcW w:w="3000" w:type="dxa"/>
            <w:tcBorders>
              <w:top w:val="single" w:sz="4" w:space="0" w:color="E2E8F0"/>
              <w:left w:val="single" w:sz="4" w:space="0" w:color="E2E8F0"/>
              <w:bottom w:val="single" w:sz="4" w:space="0" w:color="E2E8F0"/>
              <w:right w:val="single" w:sz="4" w:space="0" w:color="E2E8F0"/>
            </w:tcBorders>
            <w:shd w:val="clear" w:color="auto" w:fill="F7FAFC"/>
          </w:tcPr>
          <w:p w14:paraId="15DCF2B8" w14:textId="77777777" w:rsidR="00B13494" w:rsidRDefault="00000000">
            <w:pPr>
              <w:spacing w:before="50" w:after="50"/>
            </w:pPr>
            <w:r>
              <w:rPr>
                <w:rFonts w:ascii="Calibri" w:eastAsia="Calibri" w:hAnsi="Calibri" w:cs="Calibri"/>
                <w:b/>
                <w:bCs/>
                <w:color w:val="1A202C"/>
              </w:rPr>
              <w:t>Pivot Tables &amp; Charts</w:t>
            </w:r>
          </w:p>
        </w:tc>
        <w:tc>
          <w:tcPr>
            <w:tcW w:w="6200" w:type="dxa"/>
            <w:tcBorders>
              <w:top w:val="single" w:sz="4" w:space="0" w:color="E2E8F0"/>
              <w:left w:val="single" w:sz="4" w:space="0" w:color="E2E8F0"/>
              <w:bottom w:val="single" w:sz="4" w:space="0" w:color="E2E8F0"/>
              <w:right w:val="single" w:sz="4" w:space="0" w:color="E2E8F0"/>
            </w:tcBorders>
            <w:shd w:val="clear" w:color="auto" w:fill="F7FAFC"/>
          </w:tcPr>
          <w:p w14:paraId="58583F61" w14:textId="77777777" w:rsidR="00B13494" w:rsidRDefault="00000000">
            <w:pPr>
              <w:spacing w:before="50" w:after="50"/>
            </w:pPr>
            <w:r>
              <w:rPr>
                <w:rFonts w:ascii="Calibri" w:eastAsia="Calibri" w:hAnsi="Calibri" w:cs="Calibri"/>
                <w:color w:val="1A202C"/>
              </w:rPr>
              <w:t>Aggregations and visualizations</w:t>
            </w:r>
          </w:p>
        </w:tc>
      </w:tr>
      <w:tr w:rsidR="00B13494" w14:paraId="534DD8CF" w14:textId="77777777">
        <w:tc>
          <w:tcPr>
            <w:tcW w:w="3000" w:type="dxa"/>
            <w:tcBorders>
              <w:top w:val="single" w:sz="4" w:space="0" w:color="E2E8F0"/>
              <w:left w:val="single" w:sz="4" w:space="0" w:color="E2E8F0"/>
              <w:bottom w:val="single" w:sz="4" w:space="0" w:color="E2E8F0"/>
              <w:right w:val="single" w:sz="4" w:space="0" w:color="E2E8F0"/>
            </w:tcBorders>
          </w:tcPr>
          <w:p w14:paraId="0B362B49" w14:textId="77777777" w:rsidR="00B13494" w:rsidRDefault="00000000">
            <w:pPr>
              <w:spacing w:before="50" w:after="50"/>
            </w:pPr>
            <w:r>
              <w:rPr>
                <w:rFonts w:ascii="Calibri" w:eastAsia="Calibri" w:hAnsi="Calibri" w:cs="Calibri"/>
                <w:b/>
                <w:bCs/>
                <w:color w:val="1A202C"/>
              </w:rPr>
              <w:t>Slicers</w:t>
            </w:r>
          </w:p>
        </w:tc>
        <w:tc>
          <w:tcPr>
            <w:tcW w:w="6200" w:type="dxa"/>
            <w:tcBorders>
              <w:top w:val="single" w:sz="4" w:space="0" w:color="E2E8F0"/>
              <w:left w:val="single" w:sz="4" w:space="0" w:color="E2E8F0"/>
              <w:bottom w:val="single" w:sz="4" w:space="0" w:color="E2E8F0"/>
              <w:right w:val="single" w:sz="4" w:space="0" w:color="E2E8F0"/>
            </w:tcBorders>
          </w:tcPr>
          <w:p w14:paraId="382735F5" w14:textId="77777777" w:rsidR="00B13494" w:rsidRDefault="00000000">
            <w:pPr>
              <w:spacing w:before="50" w:after="50"/>
            </w:pPr>
            <w:r>
              <w:rPr>
                <w:rFonts w:ascii="Calibri" w:eastAsia="Calibri" w:hAnsi="Calibri" w:cs="Calibri"/>
                <w:color w:val="1A202C"/>
              </w:rPr>
              <w:t>Dynamic multi-dimensional filtering</w:t>
            </w:r>
          </w:p>
        </w:tc>
      </w:tr>
    </w:tbl>
    <w:p w14:paraId="6C83711C" w14:textId="77777777" w:rsidR="00B13494" w:rsidRDefault="00000000">
      <w:pPr>
        <w:pStyle w:val="Heading1"/>
      </w:pPr>
      <w:r>
        <w:t>4. Key Performance Indicators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800"/>
      </w:tblGrid>
      <w:tr w:rsidR="00B13494" w14:paraId="4504FC0E" w14:textId="77777777">
        <w:tc>
          <w:tcPr>
            <w:tcW w:w="2600" w:type="dxa"/>
            <w:tcBorders>
              <w:top w:val="single" w:sz="4" w:space="0" w:color="E2E8F0"/>
              <w:left w:val="single" w:sz="4" w:space="0" w:color="E2E8F0"/>
              <w:bottom w:val="single" w:sz="4" w:space="0" w:color="E2E8F0"/>
              <w:right w:val="single" w:sz="4" w:space="0" w:color="E2E8F0"/>
            </w:tcBorders>
            <w:shd w:val="clear" w:color="auto" w:fill="1A365D"/>
          </w:tcPr>
          <w:p w14:paraId="09973F4E" w14:textId="77777777" w:rsidR="00B13494" w:rsidRDefault="00000000">
            <w:pPr>
              <w:spacing w:before="50" w:after="50"/>
              <w:jc w:val="center"/>
            </w:pPr>
            <w:r>
              <w:rPr>
                <w:rFonts w:ascii="Calibri" w:eastAsia="Calibri" w:hAnsi="Calibri" w:cs="Calibri"/>
                <w:b/>
                <w:bCs/>
                <w:color w:val="FFFFFF"/>
                <w:sz w:val="18"/>
                <w:szCs w:val="18"/>
              </w:rPr>
              <w:t>Metric</w:t>
            </w:r>
          </w:p>
        </w:tc>
        <w:tc>
          <w:tcPr>
            <w:tcW w:w="1800" w:type="dxa"/>
            <w:tcBorders>
              <w:top w:val="single" w:sz="4" w:space="0" w:color="E2E8F0"/>
              <w:left w:val="single" w:sz="4" w:space="0" w:color="E2E8F0"/>
              <w:bottom w:val="single" w:sz="4" w:space="0" w:color="E2E8F0"/>
              <w:right w:val="single" w:sz="4" w:space="0" w:color="E2E8F0"/>
            </w:tcBorders>
            <w:shd w:val="clear" w:color="auto" w:fill="1A365D"/>
          </w:tcPr>
          <w:p w14:paraId="0A6437D4" w14:textId="77777777" w:rsidR="00B13494" w:rsidRDefault="00000000">
            <w:pPr>
              <w:spacing w:before="50" w:after="50"/>
              <w:jc w:val="center"/>
            </w:pPr>
            <w:r>
              <w:rPr>
                <w:rFonts w:ascii="Calibri" w:eastAsia="Calibri" w:hAnsi="Calibri" w:cs="Calibri"/>
                <w:b/>
                <w:bCs/>
                <w:color w:val="FFFFFF"/>
                <w:sz w:val="18"/>
                <w:szCs w:val="18"/>
              </w:rPr>
              <w:t>Value</w:t>
            </w:r>
          </w:p>
        </w:tc>
        <w:tc>
          <w:tcPr>
            <w:tcW w:w="4800" w:type="dxa"/>
            <w:tcBorders>
              <w:top w:val="single" w:sz="4" w:space="0" w:color="E2E8F0"/>
              <w:left w:val="single" w:sz="4" w:space="0" w:color="E2E8F0"/>
              <w:bottom w:val="single" w:sz="4" w:space="0" w:color="E2E8F0"/>
              <w:right w:val="single" w:sz="4" w:space="0" w:color="E2E8F0"/>
            </w:tcBorders>
            <w:shd w:val="clear" w:color="auto" w:fill="1A365D"/>
          </w:tcPr>
          <w:p w14:paraId="41BE851A" w14:textId="77777777" w:rsidR="00B13494" w:rsidRDefault="00000000">
            <w:pPr>
              <w:spacing w:before="50" w:after="50"/>
              <w:jc w:val="center"/>
            </w:pPr>
            <w:r>
              <w:rPr>
                <w:rFonts w:ascii="Calibri" w:eastAsia="Calibri" w:hAnsi="Calibri" w:cs="Calibri"/>
                <w:b/>
                <w:bCs/>
                <w:color w:val="FFFFFF"/>
                <w:sz w:val="18"/>
                <w:szCs w:val="18"/>
              </w:rPr>
              <w:t>Description</w:t>
            </w:r>
          </w:p>
        </w:tc>
      </w:tr>
      <w:tr w:rsidR="00B13494" w14:paraId="0B03B38A" w14:textId="77777777">
        <w:tc>
          <w:tcPr>
            <w:tcW w:w="2600" w:type="dxa"/>
            <w:tcBorders>
              <w:top w:val="single" w:sz="4" w:space="0" w:color="E2E8F0"/>
              <w:left w:val="single" w:sz="4" w:space="0" w:color="E2E8F0"/>
              <w:bottom w:val="single" w:sz="4" w:space="0" w:color="E2E8F0"/>
              <w:right w:val="single" w:sz="4" w:space="0" w:color="E2E8F0"/>
            </w:tcBorders>
            <w:shd w:val="clear" w:color="auto" w:fill="F0FFF4"/>
          </w:tcPr>
          <w:p w14:paraId="6B46751B" w14:textId="77777777" w:rsidR="00B13494" w:rsidRDefault="00000000">
            <w:pPr>
              <w:spacing w:before="50" w:after="50"/>
            </w:pPr>
            <w:r>
              <w:rPr>
                <w:rFonts w:ascii="Calibri" w:eastAsia="Calibri" w:hAnsi="Calibri" w:cs="Calibri"/>
                <w:color w:val="1A202C"/>
              </w:rPr>
              <w:t>Total Transactions</w:t>
            </w:r>
          </w:p>
        </w:tc>
        <w:tc>
          <w:tcPr>
            <w:tcW w:w="1800" w:type="dxa"/>
            <w:tcBorders>
              <w:top w:val="single" w:sz="4" w:space="0" w:color="E2E8F0"/>
              <w:left w:val="single" w:sz="4" w:space="0" w:color="E2E8F0"/>
              <w:bottom w:val="single" w:sz="4" w:space="0" w:color="E2E8F0"/>
              <w:right w:val="single" w:sz="4" w:space="0" w:color="E2E8F0"/>
            </w:tcBorders>
            <w:shd w:val="clear" w:color="auto" w:fill="F0FFF4"/>
          </w:tcPr>
          <w:p w14:paraId="09078CB7" w14:textId="77777777" w:rsidR="00B13494" w:rsidRDefault="00000000">
            <w:pPr>
              <w:spacing w:before="50" w:after="50"/>
              <w:jc w:val="center"/>
            </w:pPr>
            <w:r>
              <w:rPr>
                <w:rFonts w:ascii="Calibri" w:eastAsia="Calibri" w:hAnsi="Calibri" w:cs="Calibri"/>
                <w:b/>
                <w:bCs/>
                <w:color w:val="1A202C"/>
              </w:rPr>
              <w:t>5,02,887</w:t>
            </w:r>
          </w:p>
        </w:tc>
        <w:tc>
          <w:tcPr>
            <w:tcW w:w="4800" w:type="dxa"/>
            <w:tcBorders>
              <w:top w:val="single" w:sz="4" w:space="0" w:color="E2E8F0"/>
              <w:left w:val="single" w:sz="4" w:space="0" w:color="E2E8F0"/>
              <w:bottom w:val="single" w:sz="4" w:space="0" w:color="E2E8F0"/>
              <w:right w:val="single" w:sz="4" w:space="0" w:color="E2E8F0"/>
            </w:tcBorders>
            <w:shd w:val="clear" w:color="auto" w:fill="F0FFF4"/>
          </w:tcPr>
          <w:p w14:paraId="01ADFE5C" w14:textId="77777777" w:rsidR="00B13494" w:rsidRDefault="00000000">
            <w:pPr>
              <w:spacing w:before="50" w:after="50"/>
            </w:pPr>
            <w:r>
              <w:rPr>
                <w:rFonts w:ascii="Calibri" w:eastAsia="Calibri" w:hAnsi="Calibri" w:cs="Calibri"/>
                <w:color w:val="1A202C"/>
              </w:rPr>
              <w:t>Total UPI transactions processed</w:t>
            </w:r>
          </w:p>
        </w:tc>
      </w:tr>
      <w:tr w:rsidR="00B13494" w14:paraId="636D0B0B" w14:textId="77777777">
        <w:tc>
          <w:tcPr>
            <w:tcW w:w="2600" w:type="dxa"/>
            <w:tcBorders>
              <w:top w:val="single" w:sz="4" w:space="0" w:color="E2E8F0"/>
              <w:left w:val="single" w:sz="4" w:space="0" w:color="E2E8F0"/>
              <w:bottom w:val="single" w:sz="4" w:space="0" w:color="E2E8F0"/>
              <w:right w:val="single" w:sz="4" w:space="0" w:color="E2E8F0"/>
            </w:tcBorders>
          </w:tcPr>
          <w:p w14:paraId="280B7DBE" w14:textId="77777777" w:rsidR="00B13494" w:rsidRDefault="00000000">
            <w:pPr>
              <w:spacing w:before="50" w:after="50"/>
            </w:pPr>
            <w:r>
              <w:rPr>
                <w:rFonts w:ascii="Calibri" w:eastAsia="Calibri" w:hAnsi="Calibri" w:cs="Calibri"/>
                <w:color w:val="1A202C"/>
              </w:rPr>
              <w:t>Total Amount</w:t>
            </w:r>
          </w:p>
        </w:tc>
        <w:tc>
          <w:tcPr>
            <w:tcW w:w="1800" w:type="dxa"/>
            <w:tcBorders>
              <w:top w:val="single" w:sz="4" w:space="0" w:color="E2E8F0"/>
              <w:left w:val="single" w:sz="4" w:space="0" w:color="E2E8F0"/>
              <w:bottom w:val="single" w:sz="4" w:space="0" w:color="E2E8F0"/>
              <w:right w:val="single" w:sz="4" w:space="0" w:color="E2E8F0"/>
            </w:tcBorders>
          </w:tcPr>
          <w:p w14:paraId="5BE3ACDE" w14:textId="77777777" w:rsidR="00B13494" w:rsidRDefault="00000000">
            <w:pPr>
              <w:spacing w:before="50" w:after="50"/>
              <w:jc w:val="center"/>
            </w:pPr>
            <w:r>
              <w:rPr>
                <w:rFonts w:ascii="Calibri" w:eastAsia="Calibri" w:hAnsi="Calibri" w:cs="Calibri"/>
                <w:b/>
                <w:bCs/>
                <w:color w:val="1A202C"/>
              </w:rPr>
              <w:t>₹ 44.25 Cr</w:t>
            </w:r>
          </w:p>
        </w:tc>
        <w:tc>
          <w:tcPr>
            <w:tcW w:w="4800" w:type="dxa"/>
            <w:tcBorders>
              <w:top w:val="single" w:sz="4" w:space="0" w:color="E2E8F0"/>
              <w:left w:val="single" w:sz="4" w:space="0" w:color="E2E8F0"/>
              <w:bottom w:val="single" w:sz="4" w:space="0" w:color="E2E8F0"/>
              <w:right w:val="single" w:sz="4" w:space="0" w:color="E2E8F0"/>
            </w:tcBorders>
          </w:tcPr>
          <w:p w14:paraId="486B9CD9" w14:textId="77777777" w:rsidR="00B13494" w:rsidRDefault="00000000">
            <w:pPr>
              <w:spacing w:before="50" w:after="50"/>
            </w:pPr>
            <w:r>
              <w:rPr>
                <w:rFonts w:ascii="Calibri" w:eastAsia="Calibri" w:hAnsi="Calibri" w:cs="Calibri"/>
                <w:color w:val="1A202C"/>
              </w:rPr>
              <w:t>Aggregate transaction value</w:t>
            </w:r>
          </w:p>
        </w:tc>
      </w:tr>
      <w:tr w:rsidR="00B13494" w14:paraId="18496DF8" w14:textId="77777777">
        <w:tc>
          <w:tcPr>
            <w:tcW w:w="2600" w:type="dxa"/>
            <w:tcBorders>
              <w:top w:val="single" w:sz="4" w:space="0" w:color="E2E8F0"/>
              <w:left w:val="single" w:sz="4" w:space="0" w:color="E2E8F0"/>
              <w:bottom w:val="single" w:sz="4" w:space="0" w:color="E2E8F0"/>
              <w:right w:val="single" w:sz="4" w:space="0" w:color="E2E8F0"/>
            </w:tcBorders>
            <w:shd w:val="clear" w:color="auto" w:fill="F0FFF4"/>
          </w:tcPr>
          <w:p w14:paraId="694D9982" w14:textId="77777777" w:rsidR="00B13494" w:rsidRDefault="00000000">
            <w:pPr>
              <w:spacing w:before="50" w:after="50"/>
            </w:pPr>
            <w:r>
              <w:rPr>
                <w:rFonts w:ascii="Calibri" w:eastAsia="Calibri" w:hAnsi="Calibri" w:cs="Calibri"/>
                <w:color w:val="1A202C"/>
              </w:rPr>
              <w:t>Total Cashback</w:t>
            </w:r>
          </w:p>
        </w:tc>
        <w:tc>
          <w:tcPr>
            <w:tcW w:w="1800" w:type="dxa"/>
            <w:tcBorders>
              <w:top w:val="single" w:sz="4" w:space="0" w:color="E2E8F0"/>
              <w:left w:val="single" w:sz="4" w:space="0" w:color="E2E8F0"/>
              <w:bottom w:val="single" w:sz="4" w:space="0" w:color="E2E8F0"/>
              <w:right w:val="single" w:sz="4" w:space="0" w:color="E2E8F0"/>
            </w:tcBorders>
            <w:shd w:val="clear" w:color="auto" w:fill="F0FFF4"/>
          </w:tcPr>
          <w:p w14:paraId="6106FB5F" w14:textId="77777777" w:rsidR="00B13494" w:rsidRDefault="00000000">
            <w:pPr>
              <w:spacing w:before="50" w:after="50"/>
              <w:jc w:val="center"/>
            </w:pPr>
            <w:r>
              <w:rPr>
                <w:rFonts w:ascii="Calibri" w:eastAsia="Calibri" w:hAnsi="Calibri" w:cs="Calibri"/>
                <w:b/>
                <w:bCs/>
                <w:color w:val="1A202C"/>
              </w:rPr>
              <w:t>₹ 34.63 L</w:t>
            </w:r>
          </w:p>
        </w:tc>
        <w:tc>
          <w:tcPr>
            <w:tcW w:w="4800" w:type="dxa"/>
            <w:tcBorders>
              <w:top w:val="single" w:sz="4" w:space="0" w:color="E2E8F0"/>
              <w:left w:val="single" w:sz="4" w:space="0" w:color="E2E8F0"/>
              <w:bottom w:val="single" w:sz="4" w:space="0" w:color="E2E8F0"/>
              <w:right w:val="single" w:sz="4" w:space="0" w:color="E2E8F0"/>
            </w:tcBorders>
            <w:shd w:val="clear" w:color="auto" w:fill="F0FFF4"/>
          </w:tcPr>
          <w:p w14:paraId="63E661F9" w14:textId="77777777" w:rsidR="00B13494" w:rsidRDefault="00000000">
            <w:pPr>
              <w:spacing w:before="50" w:after="50"/>
            </w:pPr>
            <w:r>
              <w:rPr>
                <w:rFonts w:ascii="Calibri" w:eastAsia="Calibri" w:hAnsi="Calibri" w:cs="Calibri"/>
                <w:color w:val="1A202C"/>
              </w:rPr>
              <w:t>Cashback distributed to users</w:t>
            </w:r>
          </w:p>
        </w:tc>
      </w:tr>
      <w:tr w:rsidR="00B13494" w14:paraId="7A3C17A8" w14:textId="77777777">
        <w:tc>
          <w:tcPr>
            <w:tcW w:w="2600" w:type="dxa"/>
            <w:tcBorders>
              <w:top w:val="single" w:sz="4" w:space="0" w:color="E2E8F0"/>
              <w:left w:val="single" w:sz="4" w:space="0" w:color="E2E8F0"/>
              <w:bottom w:val="single" w:sz="4" w:space="0" w:color="E2E8F0"/>
              <w:right w:val="single" w:sz="4" w:space="0" w:color="E2E8F0"/>
            </w:tcBorders>
          </w:tcPr>
          <w:p w14:paraId="540C74C5" w14:textId="77777777" w:rsidR="00B13494" w:rsidRDefault="00000000">
            <w:pPr>
              <w:spacing w:before="50" w:after="50"/>
            </w:pPr>
            <w:r>
              <w:rPr>
                <w:rFonts w:ascii="Calibri" w:eastAsia="Calibri" w:hAnsi="Calibri" w:cs="Calibri"/>
                <w:color w:val="1A202C"/>
              </w:rPr>
              <w:t>Success Rate</w:t>
            </w:r>
          </w:p>
        </w:tc>
        <w:tc>
          <w:tcPr>
            <w:tcW w:w="1800" w:type="dxa"/>
            <w:tcBorders>
              <w:top w:val="single" w:sz="4" w:space="0" w:color="E2E8F0"/>
              <w:left w:val="single" w:sz="4" w:space="0" w:color="E2E8F0"/>
              <w:bottom w:val="single" w:sz="4" w:space="0" w:color="E2E8F0"/>
              <w:right w:val="single" w:sz="4" w:space="0" w:color="E2E8F0"/>
            </w:tcBorders>
          </w:tcPr>
          <w:p w14:paraId="7CE893D0" w14:textId="77777777" w:rsidR="00B13494" w:rsidRDefault="00000000">
            <w:pPr>
              <w:spacing w:before="50" w:after="50"/>
              <w:jc w:val="center"/>
            </w:pPr>
            <w:r>
              <w:rPr>
                <w:rFonts w:ascii="Calibri" w:eastAsia="Calibri" w:hAnsi="Calibri" w:cs="Calibri"/>
                <w:b/>
                <w:bCs/>
                <w:color w:val="1A202C"/>
              </w:rPr>
              <w:t>91.00%</w:t>
            </w:r>
          </w:p>
        </w:tc>
        <w:tc>
          <w:tcPr>
            <w:tcW w:w="4800" w:type="dxa"/>
            <w:tcBorders>
              <w:top w:val="single" w:sz="4" w:space="0" w:color="E2E8F0"/>
              <w:left w:val="single" w:sz="4" w:space="0" w:color="E2E8F0"/>
              <w:bottom w:val="single" w:sz="4" w:space="0" w:color="E2E8F0"/>
              <w:right w:val="single" w:sz="4" w:space="0" w:color="E2E8F0"/>
            </w:tcBorders>
          </w:tcPr>
          <w:p w14:paraId="017B8223" w14:textId="77777777" w:rsidR="00B13494" w:rsidRDefault="00000000">
            <w:pPr>
              <w:spacing w:before="50" w:after="50"/>
            </w:pPr>
            <w:r>
              <w:rPr>
                <w:rFonts w:ascii="Calibri" w:eastAsia="Calibri" w:hAnsi="Calibri" w:cs="Calibri"/>
                <w:color w:val="1A202C"/>
              </w:rPr>
              <w:t>Successfully completed transactions</w:t>
            </w:r>
          </w:p>
        </w:tc>
      </w:tr>
      <w:tr w:rsidR="00B13494" w14:paraId="161429A2" w14:textId="77777777">
        <w:tc>
          <w:tcPr>
            <w:tcW w:w="2600" w:type="dxa"/>
            <w:tcBorders>
              <w:top w:val="single" w:sz="4" w:space="0" w:color="E2E8F0"/>
              <w:left w:val="single" w:sz="4" w:space="0" w:color="E2E8F0"/>
              <w:bottom w:val="single" w:sz="4" w:space="0" w:color="E2E8F0"/>
              <w:right w:val="single" w:sz="4" w:space="0" w:color="E2E8F0"/>
            </w:tcBorders>
            <w:shd w:val="clear" w:color="auto" w:fill="FFF5F5"/>
          </w:tcPr>
          <w:p w14:paraId="6E6488E8" w14:textId="77777777" w:rsidR="00B13494" w:rsidRDefault="00000000">
            <w:pPr>
              <w:spacing w:before="50" w:after="50"/>
            </w:pPr>
            <w:r>
              <w:rPr>
                <w:rFonts w:ascii="Calibri" w:eastAsia="Calibri" w:hAnsi="Calibri" w:cs="Calibri"/>
                <w:color w:val="1A202C"/>
              </w:rPr>
              <w:lastRenderedPageBreak/>
              <w:t>Suspected Fraud</w:t>
            </w:r>
          </w:p>
        </w:tc>
        <w:tc>
          <w:tcPr>
            <w:tcW w:w="1800" w:type="dxa"/>
            <w:tcBorders>
              <w:top w:val="single" w:sz="4" w:space="0" w:color="E2E8F0"/>
              <w:left w:val="single" w:sz="4" w:space="0" w:color="E2E8F0"/>
              <w:bottom w:val="single" w:sz="4" w:space="0" w:color="E2E8F0"/>
              <w:right w:val="single" w:sz="4" w:space="0" w:color="E2E8F0"/>
            </w:tcBorders>
            <w:shd w:val="clear" w:color="auto" w:fill="FFF5F5"/>
          </w:tcPr>
          <w:p w14:paraId="21E521D9" w14:textId="77777777" w:rsidR="00B13494" w:rsidRDefault="00000000">
            <w:pPr>
              <w:spacing w:before="50" w:after="50"/>
              <w:jc w:val="center"/>
            </w:pPr>
            <w:r>
              <w:rPr>
                <w:rFonts w:ascii="Calibri" w:eastAsia="Calibri" w:hAnsi="Calibri" w:cs="Calibri"/>
                <w:b/>
                <w:bCs/>
                <w:color w:val="1A202C"/>
              </w:rPr>
              <w:t>17,089</w:t>
            </w:r>
          </w:p>
        </w:tc>
        <w:tc>
          <w:tcPr>
            <w:tcW w:w="4800" w:type="dxa"/>
            <w:tcBorders>
              <w:top w:val="single" w:sz="4" w:space="0" w:color="E2E8F0"/>
              <w:left w:val="single" w:sz="4" w:space="0" w:color="E2E8F0"/>
              <w:bottom w:val="single" w:sz="4" w:space="0" w:color="E2E8F0"/>
              <w:right w:val="single" w:sz="4" w:space="0" w:color="E2E8F0"/>
            </w:tcBorders>
            <w:shd w:val="clear" w:color="auto" w:fill="FFF5F5"/>
          </w:tcPr>
          <w:p w14:paraId="6E503528" w14:textId="77777777" w:rsidR="00B13494" w:rsidRDefault="00000000">
            <w:pPr>
              <w:spacing w:before="50" w:after="50"/>
            </w:pPr>
            <w:r>
              <w:rPr>
                <w:rFonts w:ascii="Calibri" w:eastAsia="Calibri" w:hAnsi="Calibri" w:cs="Calibri"/>
                <w:color w:val="1A202C"/>
              </w:rPr>
              <w:t>Transactions flagged as potentially fraudulent</w:t>
            </w:r>
          </w:p>
        </w:tc>
      </w:tr>
    </w:tbl>
    <w:p w14:paraId="1E8DE71F" w14:textId="77777777" w:rsidR="00B13494" w:rsidRDefault="00000000">
      <w:pPr>
        <w:pStyle w:val="Heading1"/>
      </w:pPr>
      <w:r>
        <w:t>5. Dashboard Components</w:t>
      </w:r>
    </w:p>
    <w:p w14:paraId="44E85DBD" w14:textId="77777777" w:rsidR="00B13494" w:rsidRDefault="00000000">
      <w:pPr>
        <w:pStyle w:val="Heading2"/>
      </w:pPr>
      <w:r>
        <w:t>5.1 Filters</w:t>
      </w:r>
    </w:p>
    <w:p w14:paraId="2160EE75" w14:textId="77777777" w:rsidR="00B13494" w:rsidRDefault="00000000">
      <w:pPr>
        <w:pStyle w:val="BodyText"/>
      </w:pPr>
      <w:r>
        <w:t>The dashboard includes slicers for City, Gender, Merchant Name, and Merchant Category. These filters update all KPIs and charts dynamically.</w:t>
      </w:r>
    </w:p>
    <w:p w14:paraId="1EA8CD55" w14:textId="77777777" w:rsidR="00B13494" w:rsidRDefault="00000000">
      <w:pPr>
        <w:pStyle w:val="Heading2"/>
      </w:pPr>
      <w:r>
        <w:t>5.2 Visualizations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200"/>
      </w:tblGrid>
      <w:tr w:rsidR="00B13494" w14:paraId="64342783" w14:textId="77777777">
        <w:tc>
          <w:tcPr>
            <w:tcW w:w="4000" w:type="dxa"/>
            <w:tcBorders>
              <w:top w:val="single" w:sz="4" w:space="0" w:color="E2E8F0"/>
              <w:left w:val="single" w:sz="4" w:space="0" w:color="E2E8F0"/>
              <w:bottom w:val="single" w:sz="4" w:space="0" w:color="E2E8F0"/>
              <w:right w:val="single" w:sz="4" w:space="0" w:color="E2E8F0"/>
            </w:tcBorders>
            <w:shd w:val="clear" w:color="auto" w:fill="1A365D"/>
          </w:tcPr>
          <w:p w14:paraId="4CD9ECA7" w14:textId="77777777" w:rsidR="00B13494" w:rsidRDefault="00000000">
            <w:pPr>
              <w:spacing w:before="50" w:after="50"/>
              <w:jc w:val="center"/>
            </w:pPr>
            <w:r>
              <w:rPr>
                <w:rFonts w:ascii="Calibri" w:eastAsia="Calibri" w:hAnsi="Calibri" w:cs="Calibri"/>
                <w:b/>
                <w:bCs/>
                <w:color w:val="FFFFFF"/>
                <w:sz w:val="18"/>
                <w:szCs w:val="18"/>
              </w:rPr>
              <w:t>Chart</w:t>
            </w:r>
          </w:p>
        </w:tc>
        <w:tc>
          <w:tcPr>
            <w:tcW w:w="5200" w:type="dxa"/>
            <w:tcBorders>
              <w:top w:val="single" w:sz="4" w:space="0" w:color="E2E8F0"/>
              <w:left w:val="single" w:sz="4" w:space="0" w:color="E2E8F0"/>
              <w:bottom w:val="single" w:sz="4" w:space="0" w:color="E2E8F0"/>
              <w:right w:val="single" w:sz="4" w:space="0" w:color="E2E8F0"/>
            </w:tcBorders>
            <w:shd w:val="clear" w:color="auto" w:fill="1A365D"/>
          </w:tcPr>
          <w:p w14:paraId="5F58940A" w14:textId="77777777" w:rsidR="00B13494" w:rsidRDefault="00000000">
            <w:pPr>
              <w:spacing w:before="50" w:after="50"/>
              <w:jc w:val="center"/>
            </w:pPr>
            <w:r>
              <w:rPr>
                <w:rFonts w:ascii="Calibri" w:eastAsia="Calibri" w:hAnsi="Calibri" w:cs="Calibri"/>
                <w:b/>
                <w:bCs/>
                <w:color w:val="FFFFFF"/>
                <w:sz w:val="18"/>
                <w:szCs w:val="18"/>
              </w:rPr>
              <w:t>Insight</w:t>
            </w:r>
          </w:p>
        </w:tc>
      </w:tr>
      <w:tr w:rsidR="00B13494" w14:paraId="32E55223" w14:textId="77777777">
        <w:tc>
          <w:tcPr>
            <w:tcW w:w="4000" w:type="dxa"/>
            <w:tcBorders>
              <w:top w:val="single" w:sz="4" w:space="0" w:color="E2E8F0"/>
              <w:left w:val="single" w:sz="4" w:space="0" w:color="E2E8F0"/>
              <w:bottom w:val="single" w:sz="4" w:space="0" w:color="E2E8F0"/>
              <w:right w:val="single" w:sz="4" w:space="0" w:color="E2E8F0"/>
            </w:tcBorders>
          </w:tcPr>
          <w:p w14:paraId="3FDCAB4D" w14:textId="77777777" w:rsidR="00B13494" w:rsidRDefault="00000000">
            <w:pPr>
              <w:spacing w:before="50" w:after="50"/>
            </w:pPr>
            <w:r>
              <w:rPr>
                <w:rFonts w:ascii="Calibri" w:eastAsia="Calibri" w:hAnsi="Calibri" w:cs="Calibri"/>
                <w:color w:val="1A202C"/>
              </w:rPr>
              <w:t>Transactions Amount Over Time</w:t>
            </w:r>
          </w:p>
        </w:tc>
        <w:tc>
          <w:tcPr>
            <w:tcW w:w="5200" w:type="dxa"/>
            <w:tcBorders>
              <w:top w:val="single" w:sz="4" w:space="0" w:color="E2E8F0"/>
              <w:left w:val="single" w:sz="4" w:space="0" w:color="E2E8F0"/>
              <w:bottom w:val="single" w:sz="4" w:space="0" w:color="E2E8F0"/>
              <w:right w:val="single" w:sz="4" w:space="0" w:color="E2E8F0"/>
            </w:tcBorders>
          </w:tcPr>
          <w:p w14:paraId="0FA4733B" w14:textId="77777777" w:rsidR="00B13494" w:rsidRDefault="00000000">
            <w:pPr>
              <w:spacing w:before="50" w:after="50"/>
            </w:pPr>
            <w:r>
              <w:rPr>
                <w:rFonts w:ascii="Calibri" w:eastAsia="Calibri" w:hAnsi="Calibri" w:cs="Calibri"/>
                <w:color w:val="1A202C"/>
              </w:rPr>
              <w:t>Daily trend of transaction value</w:t>
            </w:r>
          </w:p>
        </w:tc>
      </w:tr>
      <w:tr w:rsidR="00B13494" w14:paraId="7595CDC2" w14:textId="77777777">
        <w:tc>
          <w:tcPr>
            <w:tcW w:w="4000" w:type="dxa"/>
            <w:tcBorders>
              <w:top w:val="single" w:sz="4" w:space="0" w:color="E2E8F0"/>
              <w:left w:val="single" w:sz="4" w:space="0" w:color="E2E8F0"/>
              <w:bottom w:val="single" w:sz="4" w:space="0" w:color="E2E8F0"/>
              <w:right w:val="single" w:sz="4" w:space="0" w:color="E2E8F0"/>
            </w:tcBorders>
            <w:shd w:val="clear" w:color="auto" w:fill="F7FAFC"/>
          </w:tcPr>
          <w:p w14:paraId="228CC8EE" w14:textId="77777777" w:rsidR="00B13494" w:rsidRDefault="00000000">
            <w:pPr>
              <w:spacing w:before="50" w:after="50"/>
            </w:pPr>
            <w:r>
              <w:rPr>
                <w:rFonts w:ascii="Calibri" w:eastAsia="Calibri" w:hAnsi="Calibri" w:cs="Calibri"/>
                <w:color w:val="1A202C"/>
              </w:rPr>
              <w:t>Transactions by UPI App</w:t>
            </w:r>
          </w:p>
        </w:tc>
        <w:tc>
          <w:tcPr>
            <w:tcW w:w="5200" w:type="dxa"/>
            <w:tcBorders>
              <w:top w:val="single" w:sz="4" w:space="0" w:color="E2E8F0"/>
              <w:left w:val="single" w:sz="4" w:space="0" w:color="E2E8F0"/>
              <w:bottom w:val="single" w:sz="4" w:space="0" w:color="E2E8F0"/>
              <w:right w:val="single" w:sz="4" w:space="0" w:color="E2E8F0"/>
            </w:tcBorders>
            <w:shd w:val="clear" w:color="auto" w:fill="F7FAFC"/>
          </w:tcPr>
          <w:p w14:paraId="0E051F7E" w14:textId="77777777" w:rsidR="00B13494" w:rsidRDefault="00000000">
            <w:pPr>
              <w:spacing w:before="50" w:after="50"/>
            </w:pPr>
            <w:r>
              <w:rPr>
                <w:rFonts w:ascii="Calibri" w:eastAsia="Calibri" w:hAnsi="Calibri" w:cs="Calibri"/>
                <w:color w:val="1A202C"/>
              </w:rPr>
              <w:t>Market share of PhonePe, Google Pay, Paytm, and others</w:t>
            </w:r>
          </w:p>
        </w:tc>
      </w:tr>
      <w:tr w:rsidR="00B13494" w14:paraId="22165835" w14:textId="77777777">
        <w:tc>
          <w:tcPr>
            <w:tcW w:w="4000" w:type="dxa"/>
            <w:tcBorders>
              <w:top w:val="single" w:sz="4" w:space="0" w:color="E2E8F0"/>
              <w:left w:val="single" w:sz="4" w:space="0" w:color="E2E8F0"/>
              <w:bottom w:val="single" w:sz="4" w:space="0" w:color="E2E8F0"/>
              <w:right w:val="single" w:sz="4" w:space="0" w:color="E2E8F0"/>
            </w:tcBorders>
          </w:tcPr>
          <w:p w14:paraId="0F037308" w14:textId="77777777" w:rsidR="00B13494" w:rsidRDefault="00000000">
            <w:pPr>
              <w:spacing w:before="50" w:after="50"/>
            </w:pPr>
            <w:r>
              <w:rPr>
                <w:rFonts w:ascii="Calibri" w:eastAsia="Calibri" w:hAnsi="Calibri" w:cs="Calibri"/>
                <w:color w:val="1A202C"/>
              </w:rPr>
              <w:t>Transactions by Status</w:t>
            </w:r>
          </w:p>
        </w:tc>
        <w:tc>
          <w:tcPr>
            <w:tcW w:w="5200" w:type="dxa"/>
            <w:tcBorders>
              <w:top w:val="single" w:sz="4" w:space="0" w:color="E2E8F0"/>
              <w:left w:val="single" w:sz="4" w:space="0" w:color="E2E8F0"/>
              <w:bottom w:val="single" w:sz="4" w:space="0" w:color="E2E8F0"/>
              <w:right w:val="single" w:sz="4" w:space="0" w:color="E2E8F0"/>
            </w:tcBorders>
          </w:tcPr>
          <w:p w14:paraId="1260AE95" w14:textId="77777777" w:rsidR="00B13494" w:rsidRDefault="00000000">
            <w:pPr>
              <w:spacing w:before="50" w:after="50"/>
            </w:pPr>
            <w:r>
              <w:rPr>
                <w:rFonts w:ascii="Calibri" w:eastAsia="Calibri" w:hAnsi="Calibri" w:cs="Calibri"/>
                <w:color w:val="1A202C"/>
              </w:rPr>
              <w:t>Success, Failed, Pending, and Refunded split</w:t>
            </w:r>
          </w:p>
        </w:tc>
      </w:tr>
      <w:tr w:rsidR="00B13494" w14:paraId="7E51BF9B" w14:textId="77777777">
        <w:tc>
          <w:tcPr>
            <w:tcW w:w="4000" w:type="dxa"/>
            <w:tcBorders>
              <w:top w:val="single" w:sz="4" w:space="0" w:color="E2E8F0"/>
              <w:left w:val="single" w:sz="4" w:space="0" w:color="E2E8F0"/>
              <w:bottom w:val="single" w:sz="4" w:space="0" w:color="E2E8F0"/>
              <w:right w:val="single" w:sz="4" w:space="0" w:color="E2E8F0"/>
            </w:tcBorders>
            <w:shd w:val="clear" w:color="auto" w:fill="F7FAFC"/>
          </w:tcPr>
          <w:p w14:paraId="4E42A712" w14:textId="77777777" w:rsidR="00B13494" w:rsidRDefault="00000000">
            <w:pPr>
              <w:spacing w:before="50" w:after="50"/>
            </w:pPr>
            <w:r>
              <w:rPr>
                <w:rFonts w:ascii="Calibri" w:eastAsia="Calibri" w:hAnsi="Calibri" w:cs="Calibri"/>
                <w:color w:val="1A202C"/>
              </w:rPr>
              <w:t>Amount by State</w:t>
            </w:r>
          </w:p>
        </w:tc>
        <w:tc>
          <w:tcPr>
            <w:tcW w:w="5200" w:type="dxa"/>
            <w:tcBorders>
              <w:top w:val="single" w:sz="4" w:space="0" w:color="E2E8F0"/>
              <w:left w:val="single" w:sz="4" w:space="0" w:color="E2E8F0"/>
              <w:bottom w:val="single" w:sz="4" w:space="0" w:color="E2E8F0"/>
              <w:right w:val="single" w:sz="4" w:space="0" w:color="E2E8F0"/>
            </w:tcBorders>
            <w:shd w:val="clear" w:color="auto" w:fill="F7FAFC"/>
          </w:tcPr>
          <w:p w14:paraId="6E1031C2" w14:textId="77777777" w:rsidR="00B13494" w:rsidRDefault="00000000">
            <w:pPr>
              <w:spacing w:before="50" w:after="50"/>
            </w:pPr>
            <w:r>
              <w:rPr>
                <w:rFonts w:ascii="Calibri" w:eastAsia="Calibri" w:hAnsi="Calibri" w:cs="Calibri"/>
                <w:color w:val="1A202C"/>
              </w:rPr>
              <w:t>Geographic performance with India map and ranking</w:t>
            </w:r>
          </w:p>
        </w:tc>
      </w:tr>
      <w:tr w:rsidR="00B13494" w14:paraId="33A3BCFA" w14:textId="77777777">
        <w:tc>
          <w:tcPr>
            <w:tcW w:w="4000" w:type="dxa"/>
            <w:tcBorders>
              <w:top w:val="single" w:sz="4" w:space="0" w:color="E2E8F0"/>
              <w:left w:val="single" w:sz="4" w:space="0" w:color="E2E8F0"/>
              <w:bottom w:val="single" w:sz="4" w:space="0" w:color="E2E8F0"/>
              <w:right w:val="single" w:sz="4" w:space="0" w:color="E2E8F0"/>
            </w:tcBorders>
          </w:tcPr>
          <w:p w14:paraId="21309F50" w14:textId="77777777" w:rsidR="00B13494" w:rsidRDefault="00000000">
            <w:pPr>
              <w:spacing w:before="50" w:after="50"/>
            </w:pPr>
            <w:r>
              <w:rPr>
                <w:rFonts w:ascii="Calibri" w:eastAsia="Calibri" w:hAnsi="Calibri" w:cs="Calibri"/>
                <w:color w:val="1A202C"/>
              </w:rPr>
              <w:t>Amount by Bank</w:t>
            </w:r>
          </w:p>
        </w:tc>
        <w:tc>
          <w:tcPr>
            <w:tcW w:w="5200" w:type="dxa"/>
            <w:tcBorders>
              <w:top w:val="single" w:sz="4" w:space="0" w:color="E2E8F0"/>
              <w:left w:val="single" w:sz="4" w:space="0" w:color="E2E8F0"/>
              <w:bottom w:val="single" w:sz="4" w:space="0" w:color="E2E8F0"/>
              <w:right w:val="single" w:sz="4" w:space="0" w:color="E2E8F0"/>
            </w:tcBorders>
          </w:tcPr>
          <w:p w14:paraId="615C793B" w14:textId="77777777" w:rsidR="00B13494" w:rsidRDefault="00000000">
            <w:pPr>
              <w:spacing w:before="50" w:after="50"/>
            </w:pPr>
            <w:r>
              <w:rPr>
                <w:rFonts w:ascii="Calibri" w:eastAsia="Calibri" w:hAnsi="Calibri" w:cs="Calibri"/>
                <w:color w:val="1A202C"/>
              </w:rPr>
              <w:t>Top banks: HDFC, SBI, Kotak, Canara, ICICI, Axis, BoB, PNB</w:t>
            </w:r>
          </w:p>
        </w:tc>
      </w:tr>
      <w:tr w:rsidR="00B13494" w14:paraId="6D4B1867" w14:textId="77777777">
        <w:tc>
          <w:tcPr>
            <w:tcW w:w="4000" w:type="dxa"/>
            <w:tcBorders>
              <w:top w:val="single" w:sz="4" w:space="0" w:color="E2E8F0"/>
              <w:left w:val="single" w:sz="4" w:space="0" w:color="E2E8F0"/>
              <w:bottom w:val="single" w:sz="4" w:space="0" w:color="E2E8F0"/>
              <w:right w:val="single" w:sz="4" w:space="0" w:color="E2E8F0"/>
            </w:tcBorders>
            <w:shd w:val="clear" w:color="auto" w:fill="F7FAFC"/>
          </w:tcPr>
          <w:p w14:paraId="2B9595EB" w14:textId="77777777" w:rsidR="00B13494" w:rsidRDefault="00000000">
            <w:pPr>
              <w:spacing w:before="50" w:after="50"/>
            </w:pPr>
            <w:r>
              <w:rPr>
                <w:rFonts w:ascii="Calibri" w:eastAsia="Calibri" w:hAnsi="Calibri" w:cs="Calibri"/>
                <w:color w:val="1A202C"/>
              </w:rPr>
              <w:t>Amount by Transaction Type</w:t>
            </w:r>
          </w:p>
        </w:tc>
        <w:tc>
          <w:tcPr>
            <w:tcW w:w="5200" w:type="dxa"/>
            <w:tcBorders>
              <w:top w:val="single" w:sz="4" w:space="0" w:color="E2E8F0"/>
              <w:left w:val="single" w:sz="4" w:space="0" w:color="E2E8F0"/>
              <w:bottom w:val="single" w:sz="4" w:space="0" w:color="E2E8F0"/>
              <w:right w:val="single" w:sz="4" w:space="0" w:color="E2E8F0"/>
            </w:tcBorders>
            <w:shd w:val="clear" w:color="auto" w:fill="F7FAFC"/>
          </w:tcPr>
          <w:p w14:paraId="24A51CB5" w14:textId="77777777" w:rsidR="00B13494" w:rsidRDefault="00000000">
            <w:pPr>
              <w:spacing w:before="50" w:after="50"/>
            </w:pPr>
            <w:r>
              <w:rPr>
                <w:rFonts w:ascii="Calibri" w:eastAsia="Calibri" w:hAnsi="Calibri" w:cs="Calibri"/>
                <w:color w:val="1A202C"/>
              </w:rPr>
              <w:t>P2M, P2P, Bill Payment, Online Shopping, Recharge, etc.</w:t>
            </w:r>
          </w:p>
        </w:tc>
      </w:tr>
      <w:tr w:rsidR="00B13494" w14:paraId="05DA53B4" w14:textId="77777777">
        <w:tc>
          <w:tcPr>
            <w:tcW w:w="4000" w:type="dxa"/>
            <w:tcBorders>
              <w:top w:val="single" w:sz="4" w:space="0" w:color="E2E8F0"/>
              <w:left w:val="single" w:sz="4" w:space="0" w:color="E2E8F0"/>
              <w:bottom w:val="single" w:sz="4" w:space="0" w:color="E2E8F0"/>
              <w:right w:val="single" w:sz="4" w:space="0" w:color="E2E8F0"/>
            </w:tcBorders>
          </w:tcPr>
          <w:p w14:paraId="74F420A6" w14:textId="77777777" w:rsidR="00B13494" w:rsidRDefault="00000000">
            <w:pPr>
              <w:spacing w:before="50" w:after="50"/>
            </w:pPr>
            <w:r>
              <w:rPr>
                <w:rFonts w:ascii="Calibri" w:eastAsia="Calibri" w:hAnsi="Calibri" w:cs="Calibri"/>
                <w:color w:val="1A202C"/>
              </w:rPr>
              <w:t>Amount by Hour</w:t>
            </w:r>
          </w:p>
        </w:tc>
        <w:tc>
          <w:tcPr>
            <w:tcW w:w="5200" w:type="dxa"/>
            <w:tcBorders>
              <w:top w:val="single" w:sz="4" w:space="0" w:color="E2E8F0"/>
              <w:left w:val="single" w:sz="4" w:space="0" w:color="E2E8F0"/>
              <w:bottom w:val="single" w:sz="4" w:space="0" w:color="E2E8F0"/>
              <w:right w:val="single" w:sz="4" w:space="0" w:color="E2E8F0"/>
            </w:tcBorders>
          </w:tcPr>
          <w:p w14:paraId="54957C9C" w14:textId="77777777" w:rsidR="00B13494" w:rsidRDefault="00000000">
            <w:pPr>
              <w:spacing w:before="50" w:after="50"/>
            </w:pPr>
            <w:r>
              <w:rPr>
                <w:rFonts w:ascii="Calibri" w:eastAsia="Calibri" w:hAnsi="Calibri" w:cs="Calibri"/>
                <w:color w:val="1A202C"/>
              </w:rPr>
              <w:t>Peak transaction hours during the day</w:t>
            </w:r>
          </w:p>
        </w:tc>
      </w:tr>
      <w:tr w:rsidR="00B13494" w14:paraId="00F717DA" w14:textId="77777777">
        <w:tc>
          <w:tcPr>
            <w:tcW w:w="4000" w:type="dxa"/>
            <w:tcBorders>
              <w:top w:val="single" w:sz="4" w:space="0" w:color="E2E8F0"/>
              <w:left w:val="single" w:sz="4" w:space="0" w:color="E2E8F0"/>
              <w:bottom w:val="single" w:sz="4" w:space="0" w:color="E2E8F0"/>
              <w:right w:val="single" w:sz="4" w:space="0" w:color="E2E8F0"/>
            </w:tcBorders>
            <w:shd w:val="clear" w:color="auto" w:fill="F7FAFC"/>
          </w:tcPr>
          <w:p w14:paraId="23C9CA81" w14:textId="77777777" w:rsidR="00B13494" w:rsidRDefault="00000000">
            <w:pPr>
              <w:spacing w:before="50" w:after="50"/>
            </w:pPr>
            <w:r>
              <w:rPr>
                <w:rFonts w:ascii="Calibri" w:eastAsia="Calibri" w:hAnsi="Calibri" w:cs="Calibri"/>
                <w:color w:val="1A202C"/>
              </w:rPr>
              <w:t>Amount by Hour &amp; Day (Heatmap)</w:t>
            </w:r>
          </w:p>
        </w:tc>
        <w:tc>
          <w:tcPr>
            <w:tcW w:w="5200" w:type="dxa"/>
            <w:tcBorders>
              <w:top w:val="single" w:sz="4" w:space="0" w:color="E2E8F0"/>
              <w:left w:val="single" w:sz="4" w:space="0" w:color="E2E8F0"/>
              <w:bottom w:val="single" w:sz="4" w:space="0" w:color="E2E8F0"/>
              <w:right w:val="single" w:sz="4" w:space="0" w:color="E2E8F0"/>
            </w:tcBorders>
            <w:shd w:val="clear" w:color="auto" w:fill="F7FAFC"/>
          </w:tcPr>
          <w:p w14:paraId="0F6A6D7D" w14:textId="77777777" w:rsidR="00B13494" w:rsidRDefault="00000000">
            <w:pPr>
              <w:spacing w:before="50" w:after="50"/>
            </w:pPr>
            <w:r>
              <w:rPr>
                <w:rFonts w:ascii="Calibri" w:eastAsia="Calibri" w:hAnsi="Calibri" w:cs="Calibri"/>
                <w:color w:val="1A202C"/>
              </w:rPr>
              <w:t>Weekly patterns and high-activity time slots</w:t>
            </w:r>
          </w:p>
        </w:tc>
      </w:tr>
    </w:tbl>
    <w:p w14:paraId="225AA598" w14:textId="77777777" w:rsidR="00B13494" w:rsidRDefault="00000000">
      <w:pPr>
        <w:pStyle w:val="Heading1"/>
      </w:pPr>
      <w:r>
        <w:t>6. Key Insights</w:t>
      </w:r>
    </w:p>
    <w:p w14:paraId="0A8F6FD2" w14:textId="77777777" w:rsidR="00B13494" w:rsidRDefault="00000000">
      <w:pPr>
        <w:pStyle w:val="ListParagraph"/>
        <w:numPr>
          <w:ilvl w:val="0"/>
          <w:numId w:val="2"/>
        </w:numPr>
        <w:spacing w:after="40"/>
      </w:pPr>
      <w:r>
        <w:rPr>
          <w:b/>
          <w:bCs/>
          <w:sz w:val="21"/>
          <w:szCs w:val="21"/>
        </w:rPr>
        <w:t xml:space="preserve">PhonePe </w:t>
      </w:r>
      <w:r>
        <w:rPr>
          <w:sz w:val="21"/>
          <w:szCs w:val="21"/>
        </w:rPr>
        <w:t>leads UPI app usage with 45.75% share, followed by Google Pay (21.31%) and Paytm (14.34%).</w:t>
      </w:r>
    </w:p>
    <w:p w14:paraId="3BC181BA" w14:textId="77777777" w:rsidR="00B13494" w:rsidRDefault="00000000">
      <w:pPr>
        <w:pStyle w:val="ListParagraph"/>
        <w:numPr>
          <w:ilvl w:val="0"/>
          <w:numId w:val="2"/>
        </w:numPr>
        <w:spacing w:after="40"/>
      </w:pPr>
      <w:r>
        <w:rPr>
          <w:b/>
          <w:bCs/>
          <w:sz w:val="21"/>
          <w:szCs w:val="21"/>
        </w:rPr>
        <w:t xml:space="preserve">Maharashtra </w:t>
      </w:r>
      <w:r>
        <w:rPr>
          <w:sz w:val="21"/>
          <w:szCs w:val="21"/>
        </w:rPr>
        <w:t>records the highest transaction value among states.</w:t>
      </w:r>
    </w:p>
    <w:p w14:paraId="099A81C5" w14:textId="77777777" w:rsidR="00B13494" w:rsidRDefault="00000000">
      <w:pPr>
        <w:pStyle w:val="ListParagraph"/>
        <w:numPr>
          <w:ilvl w:val="0"/>
          <w:numId w:val="2"/>
        </w:numPr>
        <w:spacing w:after="40"/>
      </w:pPr>
      <w:r>
        <w:rPr>
          <w:b/>
          <w:bCs/>
          <w:sz w:val="21"/>
          <w:szCs w:val="21"/>
        </w:rPr>
        <w:t xml:space="preserve">HDFC Bank </w:t>
      </w:r>
      <w:r>
        <w:rPr>
          <w:sz w:val="21"/>
          <w:szCs w:val="21"/>
        </w:rPr>
        <w:t>processes the largest share of transaction amount among banks.</w:t>
      </w:r>
    </w:p>
    <w:p w14:paraId="07711F69" w14:textId="77777777" w:rsidR="00B13494" w:rsidRDefault="00000000">
      <w:pPr>
        <w:pStyle w:val="ListParagraph"/>
        <w:numPr>
          <w:ilvl w:val="0"/>
          <w:numId w:val="2"/>
        </w:numPr>
        <w:spacing w:after="40"/>
      </w:pPr>
      <w:r>
        <w:rPr>
          <w:b/>
          <w:bCs/>
          <w:sz w:val="21"/>
          <w:szCs w:val="21"/>
        </w:rPr>
        <w:t xml:space="preserve">P2M (Person-to-Merchant) </w:t>
      </w:r>
      <w:r>
        <w:rPr>
          <w:sz w:val="21"/>
          <w:szCs w:val="21"/>
        </w:rPr>
        <w:t>transactions contribute the highest value.</w:t>
      </w:r>
    </w:p>
    <w:p w14:paraId="19CEC581" w14:textId="77777777" w:rsidR="00B13494" w:rsidRDefault="00000000">
      <w:pPr>
        <w:pStyle w:val="ListParagraph"/>
        <w:numPr>
          <w:ilvl w:val="0"/>
          <w:numId w:val="2"/>
        </w:numPr>
        <w:spacing w:after="40"/>
      </w:pPr>
      <w:r>
        <w:rPr>
          <w:b/>
          <w:bCs/>
          <w:sz w:val="21"/>
          <w:szCs w:val="21"/>
        </w:rPr>
        <w:t xml:space="preserve">Transaction activity </w:t>
      </w:r>
      <w:r>
        <w:rPr>
          <w:sz w:val="21"/>
          <w:szCs w:val="21"/>
        </w:rPr>
        <w:t>peaks in evening hours, with clear weekday and weekend patterns visible in the heatmap.</w:t>
      </w:r>
    </w:p>
    <w:p w14:paraId="2C7BAED8" w14:textId="77777777" w:rsidR="00B13494" w:rsidRDefault="00000000">
      <w:pPr>
        <w:pStyle w:val="ListParagraph"/>
        <w:numPr>
          <w:ilvl w:val="0"/>
          <w:numId w:val="2"/>
        </w:numPr>
        <w:spacing w:after="40"/>
      </w:pPr>
      <w:r>
        <w:rPr>
          <w:b/>
          <w:bCs/>
          <w:sz w:val="21"/>
          <w:szCs w:val="21"/>
        </w:rPr>
        <w:t xml:space="preserve">Success rate </w:t>
      </w:r>
      <w:r>
        <w:rPr>
          <w:sz w:val="21"/>
          <w:szCs w:val="21"/>
        </w:rPr>
        <w:t>stands at 91%, with 17,089 transactions flagged as suspected fraud.</w:t>
      </w:r>
    </w:p>
    <w:p w14:paraId="6AF7DDCF" w14:textId="504C411F" w:rsidR="00B13494" w:rsidRDefault="00D610FF">
      <w:pPr>
        <w:pStyle w:val="Heading1"/>
      </w:pPr>
      <w:r>
        <w:t>7</w:t>
      </w:r>
      <w:r w:rsidR="00000000">
        <w:t>. Conclusion</w:t>
      </w:r>
    </w:p>
    <w:p w14:paraId="42054B41" w14:textId="77777777" w:rsidR="00B13494" w:rsidRDefault="00000000">
      <w:pPr>
        <w:pStyle w:val="BodyText"/>
      </w:pPr>
      <w:r>
        <w:t>The UPI Transactions Dashboard consolidates complex transactional data into a clear and interactive interface. It enables stakeholders to monitor performance, identify risks, and make informed decisions. Built entirely in Excel, the solution is accessible, portable, and suitable for further analytics work in the digital payments domain.</w:t>
      </w:r>
    </w:p>
    <w:sectPr w:rsidR="00B13494">
      <w:headerReference w:type="default" r:id="rId8"/>
      <w:footerReference w:type="default" r:id="rId9"/>
      <w:pgSz w:w="11906" w:h="16838"/>
      <w:pgMar w:top="1008" w:right="1224" w:bottom="1008"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44A58" w14:textId="77777777" w:rsidR="005D75B9" w:rsidRDefault="005D75B9">
      <w:r>
        <w:separator/>
      </w:r>
    </w:p>
  </w:endnote>
  <w:endnote w:type="continuationSeparator" w:id="0">
    <w:p w14:paraId="31EAFFD9" w14:textId="77777777" w:rsidR="005D75B9" w:rsidRDefault="005D75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1FC3F" w14:textId="77777777" w:rsidR="00B13494" w:rsidRDefault="00000000">
    <w:pPr>
      <w:pBdr>
        <w:top w:val="single" w:sz="6" w:space="4" w:color="E2E8F0"/>
      </w:pBdr>
      <w:spacing w:before="60"/>
      <w:jc w:val="center"/>
    </w:pPr>
    <w:r>
      <w:rPr>
        <w:rFonts w:ascii="Calibri" w:eastAsia="Calibri" w:hAnsi="Calibri" w:cs="Calibri"/>
        <w:color w:val="4A5568"/>
        <w:sz w:val="15"/>
        <w:szCs w:val="15"/>
      </w:rPr>
      <w:t xml:space="preserve">Page </w:t>
    </w:r>
    <w:r>
      <w:rPr>
        <w:rFonts w:ascii="Calibri" w:eastAsia="Calibri" w:hAnsi="Calibri" w:cs="Calibri"/>
        <w:color w:val="4A5568"/>
        <w:sz w:val="15"/>
        <w:szCs w:val="15"/>
      </w:rPr>
      <w:fldChar w:fldCharType="begin"/>
    </w:r>
    <w:r>
      <w:rPr>
        <w:rFonts w:ascii="Calibri" w:eastAsia="Calibri" w:hAnsi="Calibri" w:cs="Calibri"/>
        <w:color w:val="4A5568"/>
        <w:sz w:val="15"/>
        <w:szCs w:val="15"/>
      </w:rPr>
      <w:instrText>PAGE</w:instrText>
    </w:r>
    <w:r>
      <w:rPr>
        <w:rFonts w:ascii="Calibri" w:eastAsia="Calibri" w:hAnsi="Calibri" w:cs="Calibri"/>
        <w:color w:val="4A5568"/>
        <w:sz w:val="15"/>
        <w:szCs w:val="15"/>
      </w:rPr>
      <w:fldChar w:fldCharType="separate"/>
    </w:r>
    <w:r w:rsidR="003B4152">
      <w:rPr>
        <w:rFonts w:ascii="Calibri" w:eastAsia="Calibri" w:hAnsi="Calibri" w:cs="Calibri"/>
        <w:noProof/>
        <w:color w:val="4A5568"/>
        <w:sz w:val="15"/>
        <w:szCs w:val="15"/>
      </w:rPr>
      <w:t>1</w:t>
    </w:r>
    <w:r>
      <w:rPr>
        <w:rFonts w:ascii="Calibri" w:eastAsia="Calibri" w:hAnsi="Calibri" w:cs="Calibri"/>
        <w:color w:val="4A556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95DB7" w14:textId="77777777" w:rsidR="005D75B9" w:rsidRDefault="005D75B9">
      <w:r>
        <w:separator/>
      </w:r>
    </w:p>
  </w:footnote>
  <w:footnote w:type="continuationSeparator" w:id="0">
    <w:p w14:paraId="44A1C01F" w14:textId="77777777" w:rsidR="005D75B9" w:rsidRDefault="005D75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1FAC" w14:textId="77777777" w:rsidR="00B13494" w:rsidRDefault="00000000">
    <w:pPr>
      <w:pBdr>
        <w:bottom w:val="single" w:sz="10" w:space="6" w:color="1A365D"/>
      </w:pBdr>
      <w:spacing w:after="80"/>
    </w:pPr>
    <w:r>
      <w:rPr>
        <w:rFonts w:ascii="Calibri" w:eastAsia="Calibri" w:hAnsi="Calibri" w:cs="Calibri"/>
        <w:color w:val="4A5568"/>
        <w:sz w:val="16"/>
        <w:szCs w:val="16"/>
      </w:rPr>
      <w:t>UPI Transactions Dashboard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CE0"/>
    <w:multiLevelType w:val="hybridMultilevel"/>
    <w:tmpl w:val="C706D360"/>
    <w:lvl w:ilvl="0" w:tplc="B4AE1FB8">
      <w:start w:val="1"/>
      <w:numFmt w:val="decimal"/>
      <w:lvlText w:val="%1."/>
      <w:lvlJc w:val="left"/>
      <w:pPr>
        <w:ind w:left="720" w:hanging="360"/>
      </w:pPr>
    </w:lvl>
    <w:lvl w:ilvl="1" w:tplc="3B98C7A6">
      <w:numFmt w:val="decimal"/>
      <w:lvlText w:val=""/>
      <w:lvlJc w:val="left"/>
    </w:lvl>
    <w:lvl w:ilvl="2" w:tplc="AB461AB6">
      <w:numFmt w:val="decimal"/>
      <w:lvlText w:val=""/>
      <w:lvlJc w:val="left"/>
    </w:lvl>
    <w:lvl w:ilvl="3" w:tplc="242E5940">
      <w:numFmt w:val="decimal"/>
      <w:lvlText w:val=""/>
      <w:lvlJc w:val="left"/>
    </w:lvl>
    <w:lvl w:ilvl="4" w:tplc="6BE22AFC">
      <w:numFmt w:val="decimal"/>
      <w:lvlText w:val=""/>
      <w:lvlJc w:val="left"/>
    </w:lvl>
    <w:lvl w:ilvl="5" w:tplc="7842ECFA">
      <w:numFmt w:val="decimal"/>
      <w:lvlText w:val=""/>
      <w:lvlJc w:val="left"/>
    </w:lvl>
    <w:lvl w:ilvl="6" w:tplc="CA0EFFBE">
      <w:numFmt w:val="decimal"/>
      <w:lvlText w:val=""/>
      <w:lvlJc w:val="left"/>
    </w:lvl>
    <w:lvl w:ilvl="7" w:tplc="C8BC8234">
      <w:numFmt w:val="decimal"/>
      <w:lvlText w:val=""/>
      <w:lvlJc w:val="left"/>
    </w:lvl>
    <w:lvl w:ilvl="8" w:tplc="865CE94C">
      <w:numFmt w:val="decimal"/>
      <w:lvlText w:val=""/>
      <w:lvlJc w:val="left"/>
    </w:lvl>
  </w:abstractNum>
  <w:abstractNum w:abstractNumId="1" w15:restartNumberingAfterBreak="0">
    <w:nsid w:val="0F143020"/>
    <w:multiLevelType w:val="hybridMultilevel"/>
    <w:tmpl w:val="CC30DCE8"/>
    <w:lvl w:ilvl="0" w:tplc="2B8E3180">
      <w:start w:val="1"/>
      <w:numFmt w:val="bullet"/>
      <w:lvlText w:val="●"/>
      <w:lvlJc w:val="left"/>
      <w:pPr>
        <w:ind w:left="720" w:hanging="360"/>
      </w:pPr>
    </w:lvl>
    <w:lvl w:ilvl="1" w:tplc="8C4E10C2">
      <w:start w:val="1"/>
      <w:numFmt w:val="bullet"/>
      <w:lvlText w:val="○"/>
      <w:lvlJc w:val="left"/>
      <w:pPr>
        <w:ind w:left="1440" w:hanging="360"/>
      </w:pPr>
    </w:lvl>
    <w:lvl w:ilvl="2" w:tplc="25A6AB22">
      <w:start w:val="1"/>
      <w:numFmt w:val="bullet"/>
      <w:lvlText w:val="■"/>
      <w:lvlJc w:val="left"/>
      <w:pPr>
        <w:ind w:left="2160" w:hanging="360"/>
      </w:pPr>
    </w:lvl>
    <w:lvl w:ilvl="3" w:tplc="C15EEF62">
      <w:start w:val="1"/>
      <w:numFmt w:val="bullet"/>
      <w:lvlText w:val="●"/>
      <w:lvlJc w:val="left"/>
      <w:pPr>
        <w:ind w:left="2880" w:hanging="360"/>
      </w:pPr>
    </w:lvl>
    <w:lvl w:ilvl="4" w:tplc="1CCC1A62">
      <w:start w:val="1"/>
      <w:numFmt w:val="bullet"/>
      <w:lvlText w:val="○"/>
      <w:lvlJc w:val="left"/>
      <w:pPr>
        <w:ind w:left="3600" w:hanging="360"/>
      </w:pPr>
    </w:lvl>
    <w:lvl w:ilvl="5" w:tplc="8BA6CD7E">
      <w:start w:val="1"/>
      <w:numFmt w:val="bullet"/>
      <w:lvlText w:val="■"/>
      <w:lvlJc w:val="left"/>
      <w:pPr>
        <w:ind w:left="4320" w:hanging="360"/>
      </w:pPr>
    </w:lvl>
    <w:lvl w:ilvl="6" w:tplc="F72620DA">
      <w:start w:val="1"/>
      <w:numFmt w:val="bullet"/>
      <w:lvlText w:val="●"/>
      <w:lvlJc w:val="left"/>
      <w:pPr>
        <w:ind w:left="5040" w:hanging="360"/>
      </w:pPr>
    </w:lvl>
    <w:lvl w:ilvl="7" w:tplc="B32872F2">
      <w:start w:val="1"/>
      <w:numFmt w:val="bullet"/>
      <w:lvlText w:val="●"/>
      <w:lvlJc w:val="left"/>
      <w:pPr>
        <w:ind w:left="5760" w:hanging="360"/>
      </w:pPr>
    </w:lvl>
    <w:lvl w:ilvl="8" w:tplc="0F78DB6C">
      <w:start w:val="1"/>
      <w:numFmt w:val="bullet"/>
      <w:lvlText w:val="●"/>
      <w:lvlJc w:val="left"/>
      <w:pPr>
        <w:ind w:left="6480" w:hanging="360"/>
      </w:pPr>
    </w:lvl>
  </w:abstractNum>
  <w:abstractNum w:abstractNumId="2" w15:restartNumberingAfterBreak="0">
    <w:nsid w:val="3EBA142D"/>
    <w:multiLevelType w:val="hybridMultilevel"/>
    <w:tmpl w:val="7B00386A"/>
    <w:lvl w:ilvl="0" w:tplc="8E14132A">
      <w:start w:val="1"/>
      <w:numFmt w:val="bullet"/>
      <w:lvlText w:val="•"/>
      <w:lvlJc w:val="left"/>
      <w:pPr>
        <w:ind w:left="720" w:hanging="360"/>
      </w:pPr>
    </w:lvl>
    <w:lvl w:ilvl="1" w:tplc="75468EB2">
      <w:numFmt w:val="decimal"/>
      <w:lvlText w:val=""/>
      <w:lvlJc w:val="left"/>
    </w:lvl>
    <w:lvl w:ilvl="2" w:tplc="BCFC881A">
      <w:numFmt w:val="decimal"/>
      <w:lvlText w:val=""/>
      <w:lvlJc w:val="left"/>
    </w:lvl>
    <w:lvl w:ilvl="3" w:tplc="C4E4E786">
      <w:numFmt w:val="decimal"/>
      <w:lvlText w:val=""/>
      <w:lvlJc w:val="left"/>
    </w:lvl>
    <w:lvl w:ilvl="4" w:tplc="A1909180">
      <w:numFmt w:val="decimal"/>
      <w:lvlText w:val=""/>
      <w:lvlJc w:val="left"/>
    </w:lvl>
    <w:lvl w:ilvl="5" w:tplc="4A66BEDC">
      <w:numFmt w:val="decimal"/>
      <w:lvlText w:val=""/>
      <w:lvlJc w:val="left"/>
    </w:lvl>
    <w:lvl w:ilvl="6" w:tplc="B22266C6">
      <w:numFmt w:val="decimal"/>
      <w:lvlText w:val=""/>
      <w:lvlJc w:val="left"/>
    </w:lvl>
    <w:lvl w:ilvl="7" w:tplc="3BF48C0C">
      <w:numFmt w:val="decimal"/>
      <w:lvlText w:val=""/>
      <w:lvlJc w:val="left"/>
    </w:lvl>
    <w:lvl w:ilvl="8" w:tplc="30D82646">
      <w:numFmt w:val="decimal"/>
      <w:lvlText w:val=""/>
      <w:lvlJc w:val="left"/>
    </w:lvl>
  </w:abstractNum>
  <w:num w:numId="1" w16cid:durableId="259798131">
    <w:abstractNumId w:val="1"/>
    <w:lvlOverride w:ilvl="0">
      <w:startOverride w:val="1"/>
    </w:lvlOverride>
  </w:num>
  <w:num w:numId="2" w16cid:durableId="1014772326">
    <w:abstractNumId w:val="2"/>
    <w:lvlOverride w:ilvl="0">
      <w:startOverride w:val="1"/>
    </w:lvlOverride>
  </w:num>
  <w:num w:numId="3" w16cid:durableId="7911704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3494"/>
    <w:rsid w:val="003B4152"/>
    <w:rsid w:val="004E17F4"/>
    <w:rsid w:val="005D75B9"/>
    <w:rsid w:val="00B13494"/>
    <w:rsid w:val="00D610FF"/>
    <w:rsid w:val="00E606DC"/>
    <w:rsid w:val="00F636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9F7B6"/>
  <w15:docId w15:val="{1CD57775-4CEF-458C-AFB6-F4A1FE842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00"/>
      <w:outlineLvl w:val="0"/>
    </w:pPr>
    <w:rPr>
      <w:rFonts w:ascii="Calibri" w:eastAsia="Calibri" w:hAnsi="Calibri" w:cs="Calibri"/>
      <w:b/>
      <w:bCs/>
      <w:color w:val="1A365D"/>
      <w:sz w:val="26"/>
      <w:szCs w:val="26"/>
    </w:rPr>
  </w:style>
  <w:style w:type="paragraph" w:styleId="Heading2">
    <w:name w:val="heading 2"/>
    <w:uiPriority w:val="9"/>
    <w:unhideWhenUsed/>
    <w:qFormat/>
    <w:pPr>
      <w:spacing w:before="200" w:after="80"/>
      <w:outlineLvl w:val="1"/>
    </w:pPr>
    <w:rPr>
      <w:rFonts w:ascii="Calibri" w:eastAsia="Calibri" w:hAnsi="Calibri" w:cs="Calibri"/>
      <w:b/>
      <w:bCs/>
      <w:color w:val="2B6CB0"/>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BodyText">
    <w:name w:val="Body Text"/>
    <w:pPr>
      <w:spacing w:after="100" w:line="276" w:lineRule="auto"/>
      <w:jc w:val="both"/>
    </w:pPr>
    <w:rPr>
      <w:rFonts w:ascii="Calibri" w:eastAsia="Calibri" w:hAnsi="Calibri" w:cs="Calibri"/>
      <w:color w:val="1A202C"/>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477</Words>
  <Characters>2725</Characters>
  <Application>Microsoft Office Word</Application>
  <DocSecurity>0</DocSecurity>
  <Lines>22</Lines>
  <Paragraphs>6</Paragraphs>
  <ScaleCrop>false</ScaleCrop>
  <Company/>
  <LinksUpToDate>false</LinksUpToDate>
  <CharactersWithSpaces>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Adrij Das</cp:lastModifiedBy>
  <cp:revision>3</cp:revision>
  <dcterms:created xsi:type="dcterms:W3CDTF">2026-09-05T17:44:00Z</dcterms:created>
  <dcterms:modified xsi:type="dcterms:W3CDTF">2026-09-05T17:46:00Z</dcterms:modified>
</cp:coreProperties>
</file>