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F520" w14:textId="77777777" w:rsidR="00070A0F" w:rsidRDefault="00000000">
      <w:pPr>
        <w:spacing w:before="1400"/>
        <w:jc w:val="center"/>
        <w:rPr>
          <w:rFonts w:hint="eastAsia"/>
        </w:rPr>
      </w:pPr>
      <w:r>
        <w:rPr>
          <w:b/>
          <w:color w:val="213547"/>
          <w:sz w:val="56"/>
        </w:rPr>
        <w:t>CUSTOMER CHURN ANALYSIS</w:t>
      </w:r>
    </w:p>
    <w:p w14:paraId="22288473" w14:textId="77777777" w:rsidR="00070A0F" w:rsidRDefault="00000000">
      <w:pPr>
        <w:jc w:val="center"/>
        <w:rPr>
          <w:rFonts w:hint="eastAsia"/>
        </w:rPr>
      </w:pPr>
      <w:r>
        <w:rPr>
          <w:b/>
          <w:color w:val="6F52B5"/>
          <w:sz w:val="40"/>
        </w:rPr>
        <w:t>Key Insights from the Python Notebook</w:t>
      </w:r>
    </w:p>
    <w:p w14:paraId="076DEF9F" w14:textId="77777777" w:rsidR="00070A0F" w:rsidRDefault="00000000">
      <w:pPr>
        <w:spacing w:before="360"/>
        <w:jc w:val="center"/>
        <w:rPr>
          <w:rFonts w:hint="eastAsia"/>
        </w:rPr>
      </w:pPr>
      <w:r>
        <w:rPr>
          <w:color w:val="667085"/>
          <w:sz w:val="22"/>
        </w:rPr>
        <w:t>Notebook-derived charts with concise business descriptions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70A0F" w14:paraId="57EAADDB" w14:textId="77777777">
        <w:trPr>
          <w:tblHeader/>
          <w:jc w:val="center"/>
        </w:trPr>
        <w:tc>
          <w:tcPr>
            <w:tcW w:w="2520" w:type="dxa"/>
            <w:shd w:val="clear" w:color="auto" w:fill="F3F0FA"/>
            <w:vAlign w:val="center"/>
          </w:tcPr>
          <w:p w14:paraId="1F8E50F3" w14:textId="77777777" w:rsidR="00070A0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13547"/>
                <w:sz w:val="36"/>
              </w:rPr>
              <w:t>10,000</w:t>
            </w:r>
          </w:p>
          <w:p w14:paraId="31C437DF" w14:textId="77777777" w:rsidR="00070A0F" w:rsidRDefault="00000000">
            <w:pPr>
              <w:jc w:val="center"/>
              <w:rPr>
                <w:rFonts w:hint="eastAsia"/>
              </w:rPr>
            </w:pPr>
            <w:r>
              <w:rPr>
                <w:color w:val="667085"/>
                <w:sz w:val="16"/>
              </w:rPr>
              <w:t>Customers</w:t>
            </w:r>
          </w:p>
        </w:tc>
        <w:tc>
          <w:tcPr>
            <w:tcW w:w="2520" w:type="dxa"/>
            <w:shd w:val="clear" w:color="auto" w:fill="F3F0FA"/>
            <w:vAlign w:val="center"/>
          </w:tcPr>
          <w:p w14:paraId="4FA02553" w14:textId="77777777" w:rsidR="00070A0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13547"/>
                <w:sz w:val="36"/>
              </w:rPr>
              <w:t>2,774</w:t>
            </w:r>
          </w:p>
          <w:p w14:paraId="4DC4CDA6" w14:textId="77777777" w:rsidR="00070A0F" w:rsidRDefault="00000000">
            <w:pPr>
              <w:jc w:val="center"/>
              <w:rPr>
                <w:rFonts w:hint="eastAsia"/>
              </w:rPr>
            </w:pPr>
            <w:r>
              <w:rPr>
                <w:color w:val="667085"/>
                <w:sz w:val="16"/>
              </w:rPr>
              <w:t>Churned</w:t>
            </w:r>
          </w:p>
        </w:tc>
        <w:tc>
          <w:tcPr>
            <w:tcW w:w="2520" w:type="dxa"/>
            <w:shd w:val="clear" w:color="auto" w:fill="F3F0FA"/>
            <w:vAlign w:val="center"/>
          </w:tcPr>
          <w:p w14:paraId="121233BF" w14:textId="77777777" w:rsidR="00070A0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13547"/>
                <w:sz w:val="36"/>
              </w:rPr>
              <w:t>27.74%</w:t>
            </w:r>
          </w:p>
          <w:p w14:paraId="5F57E314" w14:textId="77777777" w:rsidR="00070A0F" w:rsidRDefault="00000000">
            <w:pPr>
              <w:jc w:val="center"/>
              <w:rPr>
                <w:rFonts w:hint="eastAsia"/>
              </w:rPr>
            </w:pPr>
            <w:r>
              <w:rPr>
                <w:color w:val="667085"/>
                <w:sz w:val="16"/>
              </w:rPr>
              <w:t>Churn Rate</w:t>
            </w:r>
          </w:p>
        </w:tc>
        <w:tc>
          <w:tcPr>
            <w:tcW w:w="2520" w:type="dxa"/>
            <w:shd w:val="clear" w:color="auto" w:fill="F3F0FA"/>
            <w:vAlign w:val="center"/>
          </w:tcPr>
          <w:p w14:paraId="49AF550D" w14:textId="77777777" w:rsidR="00070A0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13547"/>
                <w:sz w:val="36"/>
              </w:rPr>
              <w:t>39,894.72</w:t>
            </w:r>
          </w:p>
          <w:p w14:paraId="665EA4F1" w14:textId="77777777" w:rsidR="00070A0F" w:rsidRDefault="00000000">
            <w:pPr>
              <w:jc w:val="center"/>
              <w:rPr>
                <w:rFonts w:hint="eastAsia"/>
              </w:rPr>
            </w:pPr>
            <w:r>
              <w:rPr>
                <w:color w:val="667085"/>
                <w:sz w:val="16"/>
              </w:rPr>
              <w:t>Revenue at Risk</w:t>
            </w:r>
          </w:p>
        </w:tc>
      </w:tr>
    </w:tbl>
    <w:p w14:paraId="611C9182" w14:textId="77777777" w:rsidR="00070A0F" w:rsidRDefault="00070A0F">
      <w:pPr>
        <w:spacing w:after="600"/>
        <w:rPr>
          <w:rFonts w:hint="eastAsia"/>
        </w:rPr>
      </w:pPr>
    </w:p>
    <w:p w14:paraId="2C685514" w14:textId="77777777" w:rsidR="00070A0F" w:rsidRDefault="00070A0F">
      <w:pPr>
        <w:spacing w:after="0"/>
        <w:rPr>
          <w:rFonts w:hint="eastAsia"/>
        </w:rPr>
      </w:pPr>
    </w:p>
    <w:p w14:paraId="3994A98C" w14:textId="77777777" w:rsidR="00070A0F" w:rsidRDefault="00000000">
      <w:pPr>
        <w:rPr>
          <w:rFonts w:hint="eastAsia"/>
        </w:rPr>
      </w:pPr>
      <w:r>
        <w:br w:type="page"/>
      </w:r>
    </w:p>
    <w:p w14:paraId="17392C10" w14:textId="77777777" w:rsidR="00070A0F" w:rsidRDefault="00000000">
      <w:pPr>
        <w:rPr>
          <w:rFonts w:hint="eastAsia"/>
        </w:rPr>
      </w:pPr>
      <w:r>
        <w:rPr>
          <w:b/>
          <w:color w:val="213547"/>
          <w:sz w:val="44"/>
        </w:rP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34"/>
        <w:gridCol w:w="5862"/>
      </w:tblGrid>
      <w:tr w:rsidR="00070A0F" w14:paraId="19A72F32" w14:textId="77777777">
        <w:trPr>
          <w:tblHeader/>
          <w:jc w:val="center"/>
        </w:trPr>
        <w:tc>
          <w:tcPr>
            <w:tcW w:w="5040" w:type="dxa"/>
            <w:shd w:val="clear" w:color="auto" w:fill="213547"/>
          </w:tcPr>
          <w:p w14:paraId="075C313E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w="5040" w:type="dxa"/>
            <w:shd w:val="clear" w:color="auto" w:fill="213547"/>
          </w:tcPr>
          <w:p w14:paraId="76D9B950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Notebook finding</w:t>
            </w:r>
          </w:p>
        </w:tc>
      </w:tr>
      <w:tr w:rsidR="00070A0F" w14:paraId="69165265" w14:textId="77777777">
        <w:trPr>
          <w:jc w:val="center"/>
        </w:trPr>
        <w:tc>
          <w:tcPr>
            <w:tcW w:w="2592" w:type="dxa"/>
            <w:shd w:val="clear" w:color="auto" w:fill="F8F7FB"/>
            <w:vAlign w:val="center"/>
          </w:tcPr>
          <w:p w14:paraId="3DCA51D4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213547"/>
                <w:sz w:val="18"/>
              </w:rPr>
              <w:t>Overall churn</w:t>
            </w:r>
          </w:p>
        </w:tc>
        <w:tc>
          <w:tcPr>
            <w:tcW w:w="6768" w:type="dxa"/>
            <w:vAlign w:val="center"/>
          </w:tcPr>
          <w:p w14:paraId="15B2027E" w14:textId="77777777" w:rsidR="00070A0F" w:rsidRDefault="00000000">
            <w:pPr>
              <w:rPr>
                <w:rFonts w:hint="eastAsia"/>
              </w:rPr>
            </w:pPr>
            <w:r>
              <w:rPr>
                <w:sz w:val="18"/>
              </w:rPr>
              <w:t>27.74% of the 10,000 analyzed customers are marked as churned.</w:t>
            </w:r>
          </w:p>
        </w:tc>
      </w:tr>
      <w:tr w:rsidR="00070A0F" w14:paraId="2DCBF05E" w14:textId="77777777">
        <w:trPr>
          <w:jc w:val="center"/>
        </w:trPr>
        <w:tc>
          <w:tcPr>
            <w:tcW w:w="2592" w:type="dxa"/>
            <w:shd w:val="clear" w:color="auto" w:fill="F8F7FB"/>
            <w:vAlign w:val="center"/>
          </w:tcPr>
          <w:p w14:paraId="1863D67E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213547"/>
                <w:sz w:val="18"/>
              </w:rPr>
              <w:t>Contract pattern</w:t>
            </w:r>
          </w:p>
        </w:tc>
        <w:tc>
          <w:tcPr>
            <w:tcW w:w="6768" w:type="dxa"/>
            <w:vAlign w:val="center"/>
          </w:tcPr>
          <w:p w14:paraId="49286588" w14:textId="77777777" w:rsidR="00070A0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Monthly-contract customers show a 36.39% churn rate versus 17.13% for annual contracts.</w:t>
            </w:r>
          </w:p>
        </w:tc>
      </w:tr>
      <w:tr w:rsidR="00070A0F" w14:paraId="6D0C4BFB" w14:textId="77777777">
        <w:trPr>
          <w:jc w:val="center"/>
        </w:trPr>
        <w:tc>
          <w:tcPr>
            <w:tcW w:w="2592" w:type="dxa"/>
            <w:shd w:val="clear" w:color="auto" w:fill="F8F7FB"/>
            <w:vAlign w:val="center"/>
          </w:tcPr>
          <w:p w14:paraId="03D11773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213547"/>
                <w:sz w:val="18"/>
              </w:rPr>
              <w:t>Risk segmentation</w:t>
            </w:r>
          </w:p>
        </w:tc>
        <w:tc>
          <w:tcPr>
            <w:tcW w:w="6768" w:type="dxa"/>
            <w:vAlign w:val="center"/>
          </w:tcPr>
          <w:p w14:paraId="077D4D54" w14:textId="77777777" w:rsidR="00070A0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Observed churn rises from 22.97% in the low-risk group to 52.14% in the high-risk group.</w:t>
            </w:r>
          </w:p>
        </w:tc>
      </w:tr>
      <w:tr w:rsidR="00070A0F" w14:paraId="36E652A3" w14:textId="77777777">
        <w:trPr>
          <w:jc w:val="center"/>
        </w:trPr>
        <w:tc>
          <w:tcPr>
            <w:tcW w:w="2592" w:type="dxa"/>
            <w:shd w:val="clear" w:color="auto" w:fill="F8F7FB"/>
            <w:vAlign w:val="center"/>
          </w:tcPr>
          <w:p w14:paraId="0BCBCC6E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213547"/>
                <w:sz w:val="18"/>
              </w:rPr>
              <w:t>Customer satisfaction</w:t>
            </w:r>
          </w:p>
        </w:tc>
        <w:tc>
          <w:tcPr>
            <w:tcW w:w="6768" w:type="dxa"/>
            <w:vAlign w:val="center"/>
          </w:tcPr>
          <w:p w14:paraId="246E4F56" w14:textId="77777777" w:rsidR="00070A0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Observed churn falls across the CSAT bands, from 47.03% for 0-20 to 13.79% for 81-100.</w:t>
            </w:r>
          </w:p>
        </w:tc>
      </w:tr>
      <w:tr w:rsidR="00070A0F" w14:paraId="3D65B453" w14:textId="77777777">
        <w:trPr>
          <w:jc w:val="center"/>
        </w:trPr>
        <w:tc>
          <w:tcPr>
            <w:tcW w:w="2592" w:type="dxa"/>
            <w:shd w:val="clear" w:color="auto" w:fill="F8F7FB"/>
            <w:vAlign w:val="center"/>
          </w:tcPr>
          <w:p w14:paraId="3CFCFA20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213547"/>
                <w:sz w:val="18"/>
              </w:rPr>
              <w:t>Complaint pattern</w:t>
            </w:r>
          </w:p>
        </w:tc>
        <w:tc>
          <w:tcPr>
            <w:tcW w:w="6768" w:type="dxa"/>
            <w:vAlign w:val="center"/>
          </w:tcPr>
          <w:p w14:paraId="50147F55" w14:textId="77777777" w:rsidR="00070A0F" w:rsidRDefault="00000000">
            <w:pPr>
              <w:rPr>
                <w:rFonts w:hint="eastAsia"/>
              </w:rPr>
            </w:pPr>
            <w:r>
              <w:rPr>
                <w:sz w:val="18"/>
              </w:rPr>
              <w:t>The notebook shows higher observed churn rates at higher complaint counts, with very small groups producing extreme rates at 10 and 12 complaints.</w:t>
            </w:r>
          </w:p>
        </w:tc>
      </w:tr>
      <w:tr w:rsidR="00070A0F" w14:paraId="47730D99" w14:textId="77777777">
        <w:trPr>
          <w:jc w:val="center"/>
        </w:trPr>
        <w:tc>
          <w:tcPr>
            <w:tcW w:w="2592" w:type="dxa"/>
            <w:shd w:val="clear" w:color="auto" w:fill="F8F7FB"/>
            <w:vAlign w:val="center"/>
          </w:tcPr>
          <w:p w14:paraId="01C3A2D5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213547"/>
                <w:sz w:val="18"/>
              </w:rPr>
              <w:t>Revenue exposure</w:t>
            </w:r>
          </w:p>
        </w:tc>
        <w:tc>
          <w:tcPr>
            <w:tcW w:w="6768" w:type="dxa"/>
            <w:vAlign w:val="center"/>
          </w:tcPr>
          <w:p w14:paraId="494A6E37" w14:textId="77777777" w:rsidR="00070A0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Monthly revenue at risk from churned customers is 39,894.72; Standard contributes the largest plan-level amount.</w:t>
            </w:r>
          </w:p>
        </w:tc>
      </w:tr>
      <w:tr w:rsidR="00070A0F" w14:paraId="0EDA9C88" w14:textId="77777777">
        <w:trPr>
          <w:jc w:val="center"/>
        </w:trPr>
        <w:tc>
          <w:tcPr>
            <w:tcW w:w="2592" w:type="dxa"/>
            <w:shd w:val="clear" w:color="auto" w:fill="F8F7FB"/>
            <w:vAlign w:val="center"/>
          </w:tcPr>
          <w:p w14:paraId="23DD7A5B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213547"/>
                <w:sz w:val="18"/>
              </w:rPr>
              <w:t>Customer value</w:t>
            </w:r>
          </w:p>
        </w:tc>
        <w:tc>
          <w:tcPr>
            <w:tcW w:w="6768" w:type="dxa"/>
            <w:vAlign w:val="center"/>
          </w:tcPr>
          <w:p w14:paraId="02ABAB63" w14:textId="77777777" w:rsidR="00070A0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Average CLTV is 464.22 for retained customers and 249.75 for churned customers.</w:t>
            </w:r>
          </w:p>
        </w:tc>
      </w:tr>
      <w:tr w:rsidR="00070A0F" w14:paraId="0C3A75F1" w14:textId="77777777">
        <w:trPr>
          <w:jc w:val="center"/>
        </w:trPr>
        <w:tc>
          <w:tcPr>
            <w:tcW w:w="2592" w:type="dxa"/>
            <w:shd w:val="clear" w:color="auto" w:fill="F8F7FB"/>
            <w:vAlign w:val="center"/>
          </w:tcPr>
          <w:p w14:paraId="73B3BD49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213547"/>
                <w:sz w:val="18"/>
              </w:rPr>
              <w:t>Cancellation reasons</w:t>
            </w:r>
          </w:p>
        </w:tc>
        <w:tc>
          <w:tcPr>
            <w:tcW w:w="6768" w:type="dxa"/>
            <w:vAlign w:val="center"/>
          </w:tcPr>
          <w:p w14:paraId="51718CFC" w14:textId="77777777" w:rsidR="00070A0F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 longer interested and Too expensive are the two largest recorded cancellation-reason groups.</w:t>
            </w:r>
          </w:p>
        </w:tc>
      </w:tr>
      <w:tr w:rsidR="00070A0F" w14:paraId="5B098935" w14:textId="77777777">
        <w:trPr>
          <w:jc w:val="center"/>
        </w:trPr>
        <w:tc>
          <w:tcPr>
            <w:tcW w:w="2592" w:type="dxa"/>
            <w:shd w:val="clear" w:color="auto" w:fill="F8F7FB"/>
            <w:vAlign w:val="center"/>
          </w:tcPr>
          <w:p w14:paraId="39CB6296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213547"/>
                <w:sz w:val="18"/>
              </w:rPr>
              <w:t>Escalation relationship</w:t>
            </w:r>
          </w:p>
        </w:tc>
        <w:tc>
          <w:tcPr>
            <w:tcW w:w="6768" w:type="dxa"/>
            <w:vAlign w:val="center"/>
          </w:tcPr>
          <w:p w14:paraId="4A91EBA2" w14:textId="77777777" w:rsidR="00070A0F" w:rsidRDefault="00000000">
            <w:pPr>
              <w:rPr>
                <w:rFonts w:hint="eastAsia"/>
              </w:rPr>
            </w:pPr>
            <w:r>
              <w:rPr>
                <w:sz w:val="18"/>
              </w:rPr>
              <w:t>Escalation and churn have a weak positive correlation of 0.06 in the notebook data.</w:t>
            </w:r>
          </w:p>
        </w:tc>
      </w:tr>
      <w:tr w:rsidR="00070A0F" w14:paraId="36DDCBCF" w14:textId="77777777">
        <w:trPr>
          <w:jc w:val="center"/>
        </w:trPr>
        <w:tc>
          <w:tcPr>
            <w:tcW w:w="2592" w:type="dxa"/>
            <w:shd w:val="clear" w:color="auto" w:fill="F8F7FB"/>
            <w:vAlign w:val="center"/>
          </w:tcPr>
          <w:p w14:paraId="17E18A8D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213547"/>
                <w:sz w:val="18"/>
              </w:rPr>
              <w:t>Trend</w:t>
            </w:r>
          </w:p>
        </w:tc>
        <w:tc>
          <w:tcPr>
            <w:tcW w:w="6768" w:type="dxa"/>
            <w:vAlign w:val="center"/>
          </w:tcPr>
          <w:p w14:paraId="428D03F6" w14:textId="77777777" w:rsidR="00070A0F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Recorded churn volume increases strongly by cancellation year, reaching 1,144 in 2026.</w:t>
            </w:r>
          </w:p>
        </w:tc>
      </w:tr>
    </w:tbl>
    <w:p w14:paraId="75E09D10" w14:textId="77777777" w:rsidR="00070A0F" w:rsidRDefault="00000000">
      <w:pPr>
        <w:rPr>
          <w:rFonts w:hint="eastAsia"/>
        </w:rPr>
      </w:pPr>
      <w:r>
        <w:br w:type="page"/>
      </w:r>
    </w:p>
    <w:p w14:paraId="44F658FC" w14:textId="77777777" w:rsidR="00070A0F" w:rsidRDefault="00000000">
      <w:pPr>
        <w:pBdr>
          <w:bottom w:val="single" w:sz="8" w:space="1" w:color="6F52B5"/>
        </w:pBdr>
        <w:spacing w:before="40" w:after="80"/>
        <w:rPr>
          <w:rFonts w:hint="eastAsia"/>
        </w:rPr>
      </w:pPr>
      <w:r>
        <w:rPr>
          <w:b/>
          <w:color w:val="213547"/>
          <w:sz w:val="34"/>
        </w:rPr>
        <w:lastRenderedPageBreak/>
        <w:t>Insight 1: Yearly Churn Trend</w:t>
      </w:r>
    </w:p>
    <w:p w14:paraId="39C0A439" w14:textId="77777777" w:rsidR="00070A0F" w:rsidRDefault="00000000">
      <w:pPr>
        <w:spacing w:after="120"/>
        <w:rPr>
          <w:rFonts w:hint="eastAsia"/>
        </w:rPr>
      </w:pPr>
      <w:r>
        <w:rPr>
          <w:color w:val="263238"/>
          <w:sz w:val="21"/>
        </w:rPr>
        <w:t>Recorded churn volume rises substantially over the observed cancellation years, from 3 churned customers in 2021 to 1,144 in 2026.</w:t>
      </w:r>
    </w:p>
    <w:p w14:paraId="2E68EF08" w14:textId="77777777" w:rsidR="00070A0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8BC4C4" wp14:editId="440857D6">
            <wp:extent cx="5897880" cy="2169651"/>
            <wp:effectExtent l="0" t="0" r="0" b="0"/>
            <wp:docPr id="1" name="Picture 1" descr="Notebook-generated chart showing yearly churn trend." title="Yearly Churn 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77_out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6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D4F6" w14:textId="77777777" w:rsidR="00070A0F" w:rsidRDefault="00000000">
      <w:pPr>
        <w:jc w:val="center"/>
        <w:rPr>
          <w:rFonts w:hint="eastAsia"/>
        </w:rPr>
      </w:pPr>
      <w:r>
        <w:rPr>
          <w:i/>
          <w:color w:val="667085"/>
          <w:sz w:val="16"/>
        </w:rPr>
        <w:t>Figure: Yearly Churn Trend - notebook-generated visualization</w:t>
      </w:r>
    </w:p>
    <w:p w14:paraId="3D4486AF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2021: </w:t>
      </w:r>
      <w:r>
        <w:t>3 churned customers.</w:t>
      </w:r>
    </w:p>
    <w:p w14:paraId="08EFAC96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2022: </w:t>
      </w:r>
      <w:r>
        <w:t>77 churned customers.</w:t>
      </w:r>
    </w:p>
    <w:p w14:paraId="6DBCB521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2023: </w:t>
      </w:r>
      <w:r>
        <w:t>237 churned customers.</w:t>
      </w:r>
    </w:p>
    <w:p w14:paraId="7B7DAD7E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2024: </w:t>
      </w:r>
      <w:r>
        <w:t>470 churned customers.</w:t>
      </w:r>
    </w:p>
    <w:p w14:paraId="1F75BA61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2025: </w:t>
      </w:r>
      <w:r>
        <w:t>843 churned customers.</w:t>
      </w:r>
    </w:p>
    <w:p w14:paraId="027BDB9B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2026: </w:t>
      </w:r>
      <w:r>
        <w:t>1,144 churned customers.</w:t>
      </w:r>
    </w:p>
    <w:p w14:paraId="64A47DE8" w14:textId="77777777" w:rsidR="00070A0F" w:rsidRDefault="00000000">
      <w:pPr>
        <w:rPr>
          <w:rFonts w:hint="eastAsia"/>
        </w:rPr>
      </w:pPr>
      <w:r>
        <w:rPr>
          <w:b/>
          <w:color w:val="6F52B5"/>
          <w:sz w:val="18"/>
        </w:rPr>
        <w:t xml:space="preserve">Note: </w:t>
      </w:r>
      <w:r>
        <w:rPr>
          <w:color w:val="667085"/>
          <w:sz w:val="18"/>
        </w:rPr>
        <w:t>This chart shows churned-customer volume by cancellation year, not a year-by-year churn rate. Yearly volumes can also reflect differences in the amount of recorded activity.</w:t>
      </w:r>
    </w:p>
    <w:p w14:paraId="157F1AC2" w14:textId="77777777" w:rsidR="00070A0F" w:rsidRDefault="00000000">
      <w:pPr>
        <w:rPr>
          <w:rFonts w:hint="eastAsia"/>
        </w:rPr>
      </w:pPr>
      <w:r>
        <w:br w:type="page"/>
      </w:r>
    </w:p>
    <w:p w14:paraId="4832370E" w14:textId="77777777" w:rsidR="00070A0F" w:rsidRDefault="00000000">
      <w:pPr>
        <w:pBdr>
          <w:bottom w:val="single" w:sz="8" w:space="1" w:color="6F52B5"/>
        </w:pBdr>
        <w:spacing w:before="40" w:after="80"/>
        <w:rPr>
          <w:rFonts w:hint="eastAsia"/>
        </w:rPr>
      </w:pPr>
      <w:r>
        <w:rPr>
          <w:b/>
          <w:color w:val="213547"/>
          <w:sz w:val="34"/>
        </w:rPr>
        <w:lastRenderedPageBreak/>
        <w:t>Insight 2: Churn Rate by Plan Type</w:t>
      </w:r>
    </w:p>
    <w:p w14:paraId="4976DEDD" w14:textId="77777777" w:rsidR="00070A0F" w:rsidRDefault="00000000">
      <w:pPr>
        <w:spacing w:after="120"/>
        <w:rPr>
          <w:rFonts w:hint="eastAsia"/>
        </w:rPr>
      </w:pPr>
      <w:r>
        <w:rPr>
          <w:color w:val="263238"/>
          <w:sz w:val="21"/>
        </w:rPr>
        <w:t>Churn rate varies by plan type in the notebook data, with Premium showing the highest observed churn rate and Basic the lowest among the three plans.</w:t>
      </w:r>
    </w:p>
    <w:p w14:paraId="7050A8C3" w14:textId="77777777" w:rsidR="00070A0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1E9545" wp14:editId="23513A74">
            <wp:extent cx="5897880" cy="3726474"/>
            <wp:effectExtent l="0" t="0" r="0" b="0"/>
            <wp:docPr id="2" name="Picture 2" descr="Notebook-generated chart showing churn rate by plan type." title="Churn Rate by Pla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78_out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2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30EE" w14:textId="77777777" w:rsidR="00070A0F" w:rsidRDefault="00000000">
      <w:pPr>
        <w:jc w:val="center"/>
        <w:rPr>
          <w:rFonts w:hint="eastAsia"/>
        </w:rPr>
      </w:pPr>
      <w:r>
        <w:rPr>
          <w:i/>
          <w:color w:val="667085"/>
          <w:sz w:val="16"/>
        </w:rPr>
        <w:t>Figure: Churn Rate by Plan Type - notebook-generated visualization</w:t>
      </w:r>
    </w:p>
    <w:p w14:paraId="4ECD1079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Basic: </w:t>
      </w:r>
      <w:r>
        <w:t>25.59% churn rate.</w:t>
      </w:r>
    </w:p>
    <w:p w14:paraId="2BFDCF05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Standard: </w:t>
      </w:r>
      <w:r>
        <w:t>28.38% churn rate.</w:t>
      </w:r>
    </w:p>
    <w:p w14:paraId="42FBBD38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Premium: </w:t>
      </w:r>
      <w:r>
        <w:t>30.56% churn rate.</w:t>
      </w:r>
    </w:p>
    <w:p w14:paraId="4E96F558" w14:textId="77777777" w:rsidR="00070A0F" w:rsidRDefault="00000000">
      <w:pPr>
        <w:rPr>
          <w:rFonts w:hint="eastAsia"/>
        </w:rPr>
      </w:pPr>
      <w:r>
        <w:br w:type="page"/>
      </w:r>
    </w:p>
    <w:p w14:paraId="104F0F4F" w14:textId="77777777" w:rsidR="00070A0F" w:rsidRDefault="00000000">
      <w:pPr>
        <w:pBdr>
          <w:bottom w:val="single" w:sz="8" w:space="1" w:color="6F52B5"/>
        </w:pBdr>
        <w:spacing w:before="40" w:after="80"/>
        <w:rPr>
          <w:rFonts w:hint="eastAsia"/>
        </w:rPr>
      </w:pPr>
      <w:r>
        <w:rPr>
          <w:b/>
          <w:color w:val="213547"/>
          <w:sz w:val="34"/>
        </w:rPr>
        <w:lastRenderedPageBreak/>
        <w:t>Insight 3: Churn Rate by Contract Type</w:t>
      </w:r>
    </w:p>
    <w:p w14:paraId="440AF11D" w14:textId="77777777" w:rsidR="00070A0F" w:rsidRDefault="00000000">
      <w:pPr>
        <w:spacing w:after="120"/>
        <w:rPr>
          <w:rFonts w:hint="eastAsia"/>
        </w:rPr>
      </w:pPr>
      <w:r>
        <w:rPr>
          <w:color w:val="263238"/>
          <w:sz w:val="21"/>
        </w:rPr>
        <w:t>The notebook shows a clear difference in observed churn rate between monthly and annual contracts.</w:t>
      </w:r>
    </w:p>
    <w:p w14:paraId="72D0ADD7" w14:textId="77777777" w:rsidR="00070A0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3C4B6E" wp14:editId="6A26AC40">
            <wp:extent cx="5897880" cy="4774974"/>
            <wp:effectExtent l="0" t="0" r="0" b="0"/>
            <wp:docPr id="3" name="Picture 3" descr="Notebook-generated chart showing churn rate by contract type." title="Churn Rate by Contract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84_out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7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F5CF" w14:textId="77777777" w:rsidR="00070A0F" w:rsidRDefault="00000000">
      <w:pPr>
        <w:jc w:val="center"/>
        <w:rPr>
          <w:rFonts w:hint="eastAsia"/>
        </w:rPr>
      </w:pPr>
      <w:r>
        <w:rPr>
          <w:i/>
          <w:color w:val="667085"/>
          <w:sz w:val="16"/>
        </w:rPr>
        <w:t>Figure: Churn Rate by Contract Type - notebook-generated visualization</w:t>
      </w:r>
    </w:p>
    <w:p w14:paraId="7547E4D5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Monthly: </w:t>
      </w:r>
      <w:r>
        <w:t>36.39% churn rate.</w:t>
      </w:r>
    </w:p>
    <w:p w14:paraId="6222A907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Annual: </w:t>
      </w:r>
      <w:r>
        <w:t>17.13% churn rate.</w:t>
      </w:r>
    </w:p>
    <w:p w14:paraId="66BB4FE0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Difference: </w:t>
      </w:r>
      <w:r>
        <w:t>19.26 percentage points between the two contract groups.</w:t>
      </w:r>
    </w:p>
    <w:p w14:paraId="3AF43884" w14:textId="77777777" w:rsidR="00070A0F" w:rsidRDefault="00000000">
      <w:pPr>
        <w:rPr>
          <w:rFonts w:hint="eastAsia"/>
        </w:rPr>
      </w:pPr>
      <w:r>
        <w:br w:type="page"/>
      </w:r>
    </w:p>
    <w:p w14:paraId="4628E842" w14:textId="77777777" w:rsidR="00070A0F" w:rsidRDefault="00000000">
      <w:pPr>
        <w:pBdr>
          <w:bottom w:val="single" w:sz="8" w:space="1" w:color="6F52B5"/>
        </w:pBdr>
        <w:spacing w:before="40" w:after="80"/>
        <w:rPr>
          <w:rFonts w:hint="eastAsia"/>
        </w:rPr>
      </w:pPr>
      <w:r>
        <w:rPr>
          <w:b/>
          <w:color w:val="213547"/>
          <w:sz w:val="34"/>
        </w:rPr>
        <w:lastRenderedPageBreak/>
        <w:t>Insight 4: Churn Rate by Tenure Group</w:t>
      </w:r>
    </w:p>
    <w:p w14:paraId="2A6310AF" w14:textId="77777777" w:rsidR="00070A0F" w:rsidRDefault="00000000">
      <w:pPr>
        <w:spacing w:after="120"/>
        <w:rPr>
          <w:rFonts w:hint="eastAsia"/>
        </w:rPr>
      </w:pPr>
      <w:r>
        <w:rPr>
          <w:color w:val="263238"/>
          <w:sz w:val="21"/>
        </w:rPr>
        <w:t>Observed churn decreases consistently as tenure increases in the notebook analysis. The newest customers have the highest churn rate, while customers with 4+ years of tenure have the lowest.</w:t>
      </w:r>
    </w:p>
    <w:p w14:paraId="3583C1D9" w14:textId="77777777" w:rsidR="00070A0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AB05AA" wp14:editId="0405329D">
            <wp:extent cx="5897880" cy="4995357"/>
            <wp:effectExtent l="0" t="0" r="0" b="0"/>
            <wp:docPr id="4" name="Picture 4" descr="Notebook-generated chart showing churn rate by tenure group." title="Churn Rate by Tenure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83_out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9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651F" w14:textId="77777777" w:rsidR="00070A0F" w:rsidRDefault="00000000">
      <w:pPr>
        <w:jc w:val="center"/>
        <w:rPr>
          <w:rFonts w:hint="eastAsia"/>
        </w:rPr>
      </w:pPr>
      <w:r>
        <w:rPr>
          <w:i/>
          <w:color w:val="667085"/>
          <w:sz w:val="16"/>
        </w:rPr>
        <w:t>Figure: Churn Rate by Tenure Group - notebook-generated visualization</w:t>
      </w:r>
    </w:p>
    <w:p w14:paraId="7C240E14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0-1 Year: </w:t>
      </w:r>
      <w:r>
        <w:t>50.37% churn rate.</w:t>
      </w:r>
    </w:p>
    <w:p w14:paraId="0E3D21D6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1-2 Years: </w:t>
      </w:r>
      <w:r>
        <w:t>32.61% churn rate.</w:t>
      </w:r>
    </w:p>
    <w:p w14:paraId="5A47B8ED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2-3 Years: </w:t>
      </w:r>
      <w:r>
        <w:t>22.50% churn rate.</w:t>
      </w:r>
    </w:p>
    <w:p w14:paraId="0C8E400E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3-4 Years: </w:t>
      </w:r>
      <w:r>
        <w:t>13.34% churn rate.</w:t>
      </w:r>
    </w:p>
    <w:p w14:paraId="483C1866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4+ Years: </w:t>
      </w:r>
      <w:r>
        <w:t>3.55% churn rate.</w:t>
      </w:r>
    </w:p>
    <w:p w14:paraId="4480ED8D" w14:textId="77777777" w:rsidR="00070A0F" w:rsidRDefault="00000000">
      <w:pPr>
        <w:rPr>
          <w:rFonts w:hint="eastAsia"/>
        </w:rPr>
      </w:pPr>
      <w:r>
        <w:br w:type="page"/>
      </w:r>
    </w:p>
    <w:p w14:paraId="212614AA" w14:textId="77777777" w:rsidR="00070A0F" w:rsidRDefault="00000000">
      <w:pPr>
        <w:pBdr>
          <w:bottom w:val="single" w:sz="8" w:space="1" w:color="6F52B5"/>
        </w:pBdr>
        <w:spacing w:before="40" w:after="80"/>
        <w:rPr>
          <w:rFonts w:hint="eastAsia"/>
        </w:rPr>
      </w:pPr>
      <w:r>
        <w:rPr>
          <w:b/>
          <w:color w:val="213547"/>
          <w:sz w:val="34"/>
        </w:rPr>
        <w:lastRenderedPageBreak/>
        <w:t>Insight 5: Churn Rate by Churn Risk</w:t>
      </w:r>
    </w:p>
    <w:p w14:paraId="4CF37A73" w14:textId="77777777" w:rsidR="00070A0F" w:rsidRDefault="00000000">
      <w:pPr>
        <w:spacing w:after="120"/>
        <w:rPr>
          <w:rFonts w:hint="eastAsia"/>
        </w:rPr>
      </w:pPr>
      <w:r>
        <w:rPr>
          <w:color w:val="263238"/>
          <w:sz w:val="21"/>
        </w:rPr>
        <w:t>The churn-risk segmentation created from churn score shows progressively higher observed churn rates from low to medium to high risk.</w:t>
      </w:r>
    </w:p>
    <w:p w14:paraId="33AD6C90" w14:textId="77777777" w:rsidR="00070A0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735B12" wp14:editId="2279978F">
            <wp:extent cx="5897880" cy="4040822"/>
            <wp:effectExtent l="0" t="0" r="0" b="0"/>
            <wp:docPr id="5" name="Picture 5" descr="Notebook-generated chart showing churn rate by churn risk." title="Churn Rate by Churn R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96_out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4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A189" w14:textId="77777777" w:rsidR="00070A0F" w:rsidRDefault="00000000">
      <w:pPr>
        <w:jc w:val="center"/>
        <w:rPr>
          <w:rFonts w:hint="eastAsia"/>
        </w:rPr>
      </w:pPr>
      <w:r>
        <w:rPr>
          <w:i/>
          <w:color w:val="667085"/>
          <w:sz w:val="16"/>
        </w:rPr>
        <w:t>Figure: Churn Rate by Churn Risk - notebook-generated visualization</w:t>
      </w:r>
    </w:p>
    <w:p w14:paraId="4183DAB6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Low: </w:t>
      </w:r>
      <w:r>
        <w:t>22.97% churn rate across 7,836 customers.</w:t>
      </w:r>
    </w:p>
    <w:p w14:paraId="7A6A5F11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Med: </w:t>
      </w:r>
      <w:r>
        <w:t>40.06% churn rate across 1,278 customers.</w:t>
      </w:r>
    </w:p>
    <w:p w14:paraId="5DCDFF0B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High: </w:t>
      </w:r>
      <w:r>
        <w:t>52.14% churn rate across 886 customers.</w:t>
      </w:r>
    </w:p>
    <w:p w14:paraId="42BE2A2E" w14:textId="77777777" w:rsidR="00070A0F" w:rsidRDefault="00000000">
      <w:pPr>
        <w:rPr>
          <w:rFonts w:hint="eastAsia"/>
        </w:rPr>
      </w:pPr>
      <w:r>
        <w:rPr>
          <w:b/>
          <w:color w:val="6F52B5"/>
          <w:sz w:val="18"/>
        </w:rPr>
        <w:t xml:space="preserve">Note: </w:t>
      </w:r>
      <w:r>
        <w:rPr>
          <w:color w:val="667085"/>
          <w:sz w:val="18"/>
        </w:rPr>
        <w:t>Churn risk is derived from churn score in the notebook, so the two measures are closely related by construction.</w:t>
      </w:r>
    </w:p>
    <w:p w14:paraId="1464F0BE" w14:textId="77777777" w:rsidR="00070A0F" w:rsidRDefault="00000000">
      <w:pPr>
        <w:rPr>
          <w:rFonts w:hint="eastAsia"/>
        </w:rPr>
      </w:pPr>
      <w:r>
        <w:br w:type="page"/>
      </w:r>
    </w:p>
    <w:p w14:paraId="7F746E2E" w14:textId="77777777" w:rsidR="00070A0F" w:rsidRDefault="00000000">
      <w:pPr>
        <w:pBdr>
          <w:bottom w:val="single" w:sz="8" w:space="1" w:color="6F52B5"/>
        </w:pBdr>
        <w:spacing w:before="40" w:after="80"/>
        <w:rPr>
          <w:rFonts w:hint="eastAsia"/>
        </w:rPr>
      </w:pPr>
      <w:r>
        <w:rPr>
          <w:b/>
          <w:color w:val="213547"/>
          <w:sz w:val="34"/>
        </w:rPr>
        <w:lastRenderedPageBreak/>
        <w:t>Insight 6: Churn Rate by CSAT Score</w:t>
      </w:r>
    </w:p>
    <w:p w14:paraId="30B3CDA7" w14:textId="77777777" w:rsidR="00070A0F" w:rsidRDefault="00000000">
      <w:pPr>
        <w:spacing w:after="120"/>
        <w:rPr>
          <w:rFonts w:hint="eastAsia"/>
        </w:rPr>
      </w:pPr>
      <w:r>
        <w:rPr>
          <w:color w:val="263238"/>
          <w:sz w:val="21"/>
        </w:rPr>
        <w:t>The observed churn rate declines across higher CSAT score bands. The lowest CSAT band has the highest churn rate in the notebook analysis.</w:t>
      </w:r>
    </w:p>
    <w:p w14:paraId="7CE54BB7" w14:textId="77777777" w:rsidR="00070A0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B81082" wp14:editId="095E109D">
            <wp:extent cx="5897880" cy="3628277"/>
            <wp:effectExtent l="0" t="0" r="0" b="0"/>
            <wp:docPr id="6" name="Picture 6" descr="Notebook-generated chart showing churn rate by csat score." title="Churn Rate by CSAT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03_out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2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B9B3" w14:textId="77777777" w:rsidR="00070A0F" w:rsidRDefault="00000000">
      <w:pPr>
        <w:jc w:val="center"/>
        <w:rPr>
          <w:rFonts w:hint="eastAsia"/>
        </w:rPr>
      </w:pPr>
      <w:r>
        <w:rPr>
          <w:i/>
          <w:color w:val="667085"/>
          <w:sz w:val="16"/>
        </w:rPr>
        <w:t>Figure: Churn Rate by CSAT Score - notebook-generated visualization</w:t>
      </w:r>
    </w:p>
    <w:p w14:paraId="485EB236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0-20: </w:t>
      </w:r>
      <w:r>
        <w:t>47.03% churn rate.</w:t>
      </w:r>
    </w:p>
    <w:p w14:paraId="73E7A592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21-40: </w:t>
      </w:r>
      <w:r>
        <w:t>38.64% churn rate.</w:t>
      </w:r>
    </w:p>
    <w:p w14:paraId="18C7B7B8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41-60: </w:t>
      </w:r>
      <w:r>
        <w:t>28.91% churn rate.</w:t>
      </w:r>
    </w:p>
    <w:p w14:paraId="40DFD40D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61-80: </w:t>
      </w:r>
      <w:r>
        <w:t>21.15% churn rate.</w:t>
      </w:r>
    </w:p>
    <w:p w14:paraId="65D6D821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81-100: </w:t>
      </w:r>
      <w:r>
        <w:t>13.79% churn rate.</w:t>
      </w:r>
    </w:p>
    <w:p w14:paraId="7E2E48EB" w14:textId="77777777" w:rsidR="00070A0F" w:rsidRDefault="00000000">
      <w:pPr>
        <w:rPr>
          <w:rFonts w:hint="eastAsia"/>
        </w:rPr>
      </w:pPr>
      <w:r>
        <w:rPr>
          <w:b/>
          <w:color w:val="6F52B5"/>
          <w:sz w:val="18"/>
        </w:rPr>
        <w:t xml:space="preserve">Note: </w:t>
      </w:r>
      <w:r>
        <w:rPr>
          <w:color w:val="667085"/>
          <w:sz w:val="18"/>
        </w:rPr>
        <w:t>The notebook excludes missing CSAT scores from this grouped analysis.</w:t>
      </w:r>
    </w:p>
    <w:p w14:paraId="50B064E5" w14:textId="77777777" w:rsidR="00070A0F" w:rsidRDefault="00000000">
      <w:pPr>
        <w:rPr>
          <w:rFonts w:hint="eastAsia"/>
        </w:rPr>
      </w:pPr>
      <w:r>
        <w:br w:type="page"/>
      </w:r>
    </w:p>
    <w:p w14:paraId="1A1B730B" w14:textId="77777777" w:rsidR="00070A0F" w:rsidRDefault="00000000">
      <w:pPr>
        <w:pBdr>
          <w:bottom w:val="single" w:sz="8" w:space="1" w:color="6F52B5"/>
        </w:pBdr>
        <w:spacing w:before="40" w:after="80"/>
        <w:rPr>
          <w:rFonts w:hint="eastAsia"/>
        </w:rPr>
      </w:pPr>
      <w:r>
        <w:rPr>
          <w:b/>
          <w:color w:val="213547"/>
          <w:sz w:val="34"/>
        </w:rPr>
        <w:lastRenderedPageBreak/>
        <w:t>Insight 7: Churn Rate by Complaint Count</w:t>
      </w:r>
    </w:p>
    <w:p w14:paraId="2A193C46" w14:textId="77777777" w:rsidR="00070A0F" w:rsidRDefault="00000000">
      <w:pPr>
        <w:spacing w:after="120"/>
        <w:rPr>
          <w:rFonts w:hint="eastAsia"/>
        </w:rPr>
      </w:pPr>
      <w:r>
        <w:rPr>
          <w:color w:val="263238"/>
          <w:sz w:val="21"/>
        </w:rPr>
        <w:t>The notebook shows an overall upward pattern in observed churn rate as the number of recorded complaints increases.</w:t>
      </w:r>
    </w:p>
    <w:p w14:paraId="252A03A7" w14:textId="77777777" w:rsidR="00070A0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B01227" wp14:editId="15B54813">
            <wp:extent cx="5897880" cy="3586033"/>
            <wp:effectExtent l="0" t="0" r="0" b="0"/>
            <wp:docPr id="7" name="Picture 7" descr="Notebook-generated chart showing churn rate by complaint count." title="Churn Rate by Complaint 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02_out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8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D650" w14:textId="77777777" w:rsidR="00070A0F" w:rsidRDefault="00000000">
      <w:pPr>
        <w:jc w:val="center"/>
        <w:rPr>
          <w:rFonts w:hint="eastAsia"/>
        </w:rPr>
      </w:pPr>
      <w:r>
        <w:rPr>
          <w:i/>
          <w:color w:val="667085"/>
          <w:sz w:val="16"/>
        </w:rPr>
        <w:t>Figure: Churn Rate by Complaint Count - notebook-generated visualization</w:t>
      </w:r>
    </w:p>
    <w:p w14:paraId="015CA132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0 complaints: </w:t>
      </w:r>
      <w:r>
        <w:t>15.08% observed churn rate.</w:t>
      </w:r>
    </w:p>
    <w:p w14:paraId="59A09E61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4 complaints: </w:t>
      </w:r>
      <w:r>
        <w:t>36.85% observed churn rate.</w:t>
      </w:r>
    </w:p>
    <w:p w14:paraId="01E8D752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6 complaints: </w:t>
      </w:r>
      <w:r>
        <w:t>54.07% observed churn rate.</w:t>
      </w:r>
    </w:p>
    <w:p w14:paraId="5C9908D4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8 complaints: </w:t>
      </w:r>
      <w:r>
        <w:t>67.50% observed churn rate.</w:t>
      </w:r>
    </w:p>
    <w:p w14:paraId="75F49504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10 complaints: </w:t>
      </w:r>
      <w:r>
        <w:t>100.00% observed churn rate.</w:t>
      </w:r>
    </w:p>
    <w:p w14:paraId="4305AFCA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12 complaints: </w:t>
      </w:r>
      <w:r>
        <w:t>100.00% observed churn rate.</w:t>
      </w:r>
    </w:p>
    <w:p w14:paraId="4C35C39B" w14:textId="77777777" w:rsidR="00070A0F" w:rsidRDefault="00000000">
      <w:pPr>
        <w:rPr>
          <w:rFonts w:hint="eastAsia"/>
        </w:rPr>
      </w:pPr>
      <w:r>
        <w:rPr>
          <w:b/>
          <w:color w:val="6F52B5"/>
          <w:sz w:val="18"/>
        </w:rPr>
        <w:t xml:space="preserve">Note: </w:t>
      </w:r>
      <w:r>
        <w:rPr>
          <w:color w:val="667085"/>
          <w:sz w:val="18"/>
        </w:rPr>
        <w:t>The extreme 100% values occur in high-complaint groups with relatively small customer counts, so these endpoints should be interpreted cautiously.</w:t>
      </w:r>
    </w:p>
    <w:p w14:paraId="459DE860" w14:textId="77777777" w:rsidR="00070A0F" w:rsidRDefault="00000000">
      <w:pPr>
        <w:rPr>
          <w:rFonts w:hint="eastAsia"/>
        </w:rPr>
      </w:pPr>
      <w:r>
        <w:br w:type="page"/>
      </w:r>
    </w:p>
    <w:p w14:paraId="55E88743" w14:textId="77777777" w:rsidR="00070A0F" w:rsidRDefault="00000000">
      <w:pPr>
        <w:pBdr>
          <w:bottom w:val="single" w:sz="8" w:space="1" w:color="6F52B5"/>
        </w:pBdr>
        <w:spacing w:before="40" w:after="80"/>
        <w:rPr>
          <w:rFonts w:hint="eastAsia"/>
        </w:rPr>
      </w:pPr>
      <w:r>
        <w:rPr>
          <w:b/>
          <w:color w:val="213547"/>
          <w:sz w:val="34"/>
        </w:rPr>
        <w:lastRenderedPageBreak/>
        <w:t>Insight 8: Cancellation Reason Analysis</w:t>
      </w:r>
    </w:p>
    <w:p w14:paraId="5499EDC1" w14:textId="77777777" w:rsidR="00070A0F" w:rsidRDefault="00000000">
      <w:pPr>
        <w:spacing w:after="120"/>
        <w:rPr>
          <w:rFonts w:hint="eastAsia"/>
        </w:rPr>
      </w:pPr>
      <w:r>
        <w:rPr>
          <w:color w:val="263238"/>
          <w:sz w:val="21"/>
        </w:rPr>
        <w:t>Among churned customers, a small number of cancellation reasons account for most of the recorded churn-reason distribution.</w:t>
      </w:r>
    </w:p>
    <w:p w14:paraId="3042EBD7" w14:textId="77777777" w:rsidR="00070A0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9AB593" wp14:editId="5834BCD7">
            <wp:extent cx="5897880" cy="3518452"/>
            <wp:effectExtent l="0" t="0" r="0" b="0"/>
            <wp:docPr id="8" name="Picture 8" descr="Notebook-generated chart showing cancellation reason analysis." title="Cancellation Reason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00_out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1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7212" w14:textId="77777777" w:rsidR="00070A0F" w:rsidRDefault="00000000">
      <w:pPr>
        <w:jc w:val="center"/>
        <w:rPr>
          <w:rFonts w:hint="eastAsia"/>
        </w:rPr>
      </w:pPr>
      <w:r>
        <w:rPr>
          <w:i/>
          <w:color w:val="667085"/>
          <w:sz w:val="16"/>
        </w:rPr>
        <w:t>Figure: Cancellation Reason Analysis - notebook-generated visualization</w:t>
      </w:r>
    </w:p>
    <w:p w14:paraId="4C4AE3A5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No longer interested: </w:t>
      </w:r>
      <w:r>
        <w:t>25.67% of churned customers.</w:t>
      </w:r>
    </w:p>
    <w:p w14:paraId="700C193D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Too expensive: </w:t>
      </w:r>
      <w:r>
        <w:t>20.04%.</w:t>
      </w:r>
    </w:p>
    <w:p w14:paraId="1B31335F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Poor content quality: </w:t>
      </w:r>
      <w:r>
        <w:t>14.82%.</w:t>
      </w:r>
    </w:p>
    <w:p w14:paraId="498C80E1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Poor customer support: </w:t>
      </w:r>
      <w:r>
        <w:t>14.38%.</w:t>
      </w:r>
    </w:p>
    <w:p w14:paraId="2E390883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Switched to competitor: </w:t>
      </w:r>
      <w:r>
        <w:t>9.30%.</w:t>
      </w:r>
    </w:p>
    <w:p w14:paraId="5D085C16" w14:textId="77777777" w:rsidR="00070A0F" w:rsidRDefault="00000000">
      <w:pPr>
        <w:rPr>
          <w:rFonts w:hint="eastAsia"/>
        </w:rPr>
      </w:pPr>
      <w:r>
        <w:rPr>
          <w:b/>
          <w:color w:val="6F52B5"/>
          <w:sz w:val="18"/>
        </w:rPr>
        <w:t xml:space="preserve">Note: </w:t>
      </w:r>
      <w:r>
        <w:rPr>
          <w:color w:val="667085"/>
          <w:sz w:val="18"/>
        </w:rPr>
        <w:t>These are reported cancellation reasons in the dataset. They describe observed reasons and do not by themselves establish causal drivers of churn.</w:t>
      </w:r>
    </w:p>
    <w:p w14:paraId="24C1914F" w14:textId="77777777" w:rsidR="00070A0F" w:rsidRDefault="00000000">
      <w:pPr>
        <w:rPr>
          <w:rFonts w:hint="eastAsia"/>
        </w:rPr>
      </w:pPr>
      <w:r>
        <w:br w:type="page"/>
      </w:r>
    </w:p>
    <w:p w14:paraId="30F04AF5" w14:textId="77777777" w:rsidR="00070A0F" w:rsidRDefault="00000000">
      <w:pPr>
        <w:pBdr>
          <w:bottom w:val="single" w:sz="8" w:space="1" w:color="6F52B5"/>
        </w:pBdr>
        <w:spacing w:before="40" w:after="80"/>
        <w:rPr>
          <w:rFonts w:hint="eastAsia"/>
        </w:rPr>
      </w:pPr>
      <w:r>
        <w:rPr>
          <w:b/>
          <w:color w:val="213547"/>
          <w:sz w:val="34"/>
        </w:rPr>
        <w:lastRenderedPageBreak/>
        <w:t>Insight 9: Revenue Lost by Plan Type</w:t>
      </w:r>
    </w:p>
    <w:p w14:paraId="0D7868E2" w14:textId="77777777" w:rsidR="00070A0F" w:rsidRDefault="00000000">
      <w:pPr>
        <w:spacing w:after="120"/>
        <w:rPr>
          <w:rFonts w:hint="eastAsia"/>
        </w:rPr>
      </w:pPr>
      <w:r>
        <w:rPr>
          <w:color w:val="263238"/>
          <w:sz w:val="21"/>
        </w:rPr>
        <w:t>The monthly revenue exposure associated with churned customers differs across plan types. Standard contributes the largest plan-level amount of revenue at risk in the notebook data.</w:t>
      </w:r>
    </w:p>
    <w:p w14:paraId="5F5C4B57" w14:textId="77777777" w:rsidR="00070A0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3D6848" wp14:editId="20D68CBE">
            <wp:extent cx="5897880" cy="3376375"/>
            <wp:effectExtent l="0" t="0" r="0" b="0"/>
            <wp:docPr id="9" name="Picture 9" descr="Notebook-generated chart showing revenue lost by plan type." title="Revenue Lost by Pla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04_out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2D02" w14:textId="77777777" w:rsidR="00070A0F" w:rsidRDefault="00000000">
      <w:pPr>
        <w:jc w:val="center"/>
        <w:rPr>
          <w:rFonts w:hint="eastAsia"/>
        </w:rPr>
      </w:pPr>
      <w:r>
        <w:rPr>
          <w:i/>
          <w:color w:val="667085"/>
          <w:sz w:val="16"/>
        </w:rPr>
        <w:t>Figure: Revenue Lost by Plan Type - notebook-generated visualization</w:t>
      </w:r>
    </w:p>
    <w:p w14:paraId="44A28EDA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Standard: </w:t>
      </w:r>
      <w:r>
        <w:t>17,046.51 in monthly revenue at risk.</w:t>
      </w:r>
    </w:p>
    <w:p w14:paraId="2B4F150B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Premium: </w:t>
      </w:r>
      <w:r>
        <w:t>14,312.60.</w:t>
      </w:r>
    </w:p>
    <w:p w14:paraId="13E7044A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Basic: </w:t>
      </w:r>
      <w:r>
        <w:t>8,535.61.</w:t>
      </w:r>
    </w:p>
    <w:p w14:paraId="209C54B0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Total: </w:t>
      </w:r>
      <w:r>
        <w:t>39,894.72 across all churned customers.</w:t>
      </w:r>
    </w:p>
    <w:p w14:paraId="2869BA8E" w14:textId="77777777" w:rsidR="00070A0F" w:rsidRDefault="00000000">
      <w:pPr>
        <w:rPr>
          <w:rFonts w:hint="eastAsia"/>
        </w:rPr>
      </w:pPr>
      <w:r>
        <w:br w:type="page"/>
      </w:r>
    </w:p>
    <w:p w14:paraId="7B26B286" w14:textId="77777777" w:rsidR="00070A0F" w:rsidRDefault="00000000">
      <w:pPr>
        <w:pBdr>
          <w:bottom w:val="single" w:sz="8" w:space="1" w:color="6F52B5"/>
        </w:pBdr>
        <w:spacing w:before="40" w:after="80"/>
        <w:rPr>
          <w:rFonts w:hint="eastAsia"/>
        </w:rPr>
      </w:pPr>
      <w:r>
        <w:rPr>
          <w:b/>
          <w:color w:val="213547"/>
          <w:sz w:val="34"/>
        </w:rPr>
        <w:lastRenderedPageBreak/>
        <w:t>Insight 10: Average CLTV by Churn Status</w:t>
      </w:r>
    </w:p>
    <w:p w14:paraId="169BAFD3" w14:textId="77777777" w:rsidR="00070A0F" w:rsidRDefault="00000000">
      <w:pPr>
        <w:spacing w:after="120"/>
        <w:rPr>
          <w:rFonts w:hint="eastAsia"/>
        </w:rPr>
      </w:pPr>
      <w:r>
        <w:rPr>
          <w:color w:val="263238"/>
          <w:sz w:val="21"/>
        </w:rPr>
        <w:t>Average customer lifetime value differs substantially between retained and churned customers in the notebook analysis.</w:t>
      </w:r>
    </w:p>
    <w:p w14:paraId="6DB4EFEA" w14:textId="77777777" w:rsidR="00070A0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E20ECB" wp14:editId="385E5D4F">
            <wp:extent cx="5897880" cy="3988494"/>
            <wp:effectExtent l="0" t="0" r="0" b="0"/>
            <wp:docPr id="10" name="Picture 10" descr="Notebook-generated chart showing average cltv by churn status." title="Average CLTV by Churn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98_out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8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E209" w14:textId="77777777" w:rsidR="00070A0F" w:rsidRDefault="00000000">
      <w:pPr>
        <w:jc w:val="center"/>
        <w:rPr>
          <w:rFonts w:hint="eastAsia"/>
        </w:rPr>
      </w:pPr>
      <w:r>
        <w:rPr>
          <w:i/>
          <w:color w:val="667085"/>
          <w:sz w:val="16"/>
        </w:rPr>
        <w:t>Figure: Average CLTV by Churn Status - notebook-generated visualization</w:t>
      </w:r>
    </w:p>
    <w:p w14:paraId="26406131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Retained: </w:t>
      </w:r>
      <w:r>
        <w:t>Average CLTV of 464.22.</w:t>
      </w:r>
    </w:p>
    <w:p w14:paraId="0EDD5A30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Churned: </w:t>
      </w:r>
      <w:r>
        <w:t>Average CLTV of 249.75.</w:t>
      </w:r>
    </w:p>
    <w:p w14:paraId="5CD99E8E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Gap: </w:t>
      </w:r>
      <w:r>
        <w:t>214.47 lower average CLTV for churned customers.</w:t>
      </w:r>
    </w:p>
    <w:p w14:paraId="23A4937E" w14:textId="77777777" w:rsidR="00070A0F" w:rsidRDefault="00000000">
      <w:pPr>
        <w:rPr>
          <w:rFonts w:hint="eastAsia"/>
        </w:rPr>
      </w:pPr>
      <w:r>
        <w:br w:type="page"/>
      </w:r>
    </w:p>
    <w:p w14:paraId="7BBAFD72" w14:textId="77777777" w:rsidR="00070A0F" w:rsidRDefault="00000000">
      <w:pPr>
        <w:pBdr>
          <w:bottom w:val="single" w:sz="8" w:space="1" w:color="6F52B5"/>
        </w:pBdr>
        <w:spacing w:before="40" w:after="80"/>
        <w:rPr>
          <w:rFonts w:hint="eastAsia"/>
        </w:rPr>
      </w:pPr>
      <w:r>
        <w:rPr>
          <w:b/>
          <w:color w:val="213547"/>
          <w:sz w:val="34"/>
        </w:rPr>
        <w:lastRenderedPageBreak/>
        <w:t>Insight 11: Escalation and Churn Relationship</w:t>
      </w:r>
    </w:p>
    <w:p w14:paraId="4F99F2DA" w14:textId="77777777" w:rsidR="00070A0F" w:rsidRDefault="00000000">
      <w:pPr>
        <w:spacing w:after="120"/>
        <w:rPr>
          <w:rFonts w:hint="eastAsia"/>
        </w:rPr>
      </w:pPr>
      <w:r>
        <w:rPr>
          <w:color w:val="263238"/>
          <w:sz w:val="21"/>
        </w:rPr>
        <w:t>The correlation matrix shows a weak positive correlation between escalation status and churn status, while churn score has a stronger positive relationship with churn flag.</w:t>
      </w:r>
    </w:p>
    <w:p w14:paraId="60067986" w14:textId="77777777" w:rsidR="00070A0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2E7831" wp14:editId="6CC5B721">
            <wp:extent cx="5897880" cy="4842266"/>
            <wp:effectExtent l="0" t="0" r="0" b="0"/>
            <wp:docPr id="11" name="Picture 11" descr="Notebook-generated chart showing escalation and churn relationship." title="Escalation and Churn 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092_out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84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EBD5" w14:textId="77777777" w:rsidR="00070A0F" w:rsidRDefault="00000000">
      <w:pPr>
        <w:jc w:val="center"/>
        <w:rPr>
          <w:rFonts w:hint="eastAsia"/>
        </w:rPr>
      </w:pPr>
      <w:r>
        <w:rPr>
          <w:i/>
          <w:color w:val="667085"/>
          <w:sz w:val="16"/>
        </w:rPr>
        <w:t>Figure: Escalation and Churn Relationship - notebook-generated visualization</w:t>
      </w:r>
    </w:p>
    <w:p w14:paraId="4E1448A2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Escalation vs churn: </w:t>
      </w:r>
      <w:r>
        <w:t>Correlation approximately 0.06.</w:t>
      </w:r>
    </w:p>
    <w:p w14:paraId="7B334B3C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Churn score vs churn: </w:t>
      </w:r>
      <w:r>
        <w:t>Correlation approximately 0.27.</w:t>
      </w:r>
    </w:p>
    <w:p w14:paraId="79DA3B93" w14:textId="77777777" w:rsidR="00070A0F" w:rsidRDefault="00000000">
      <w:pPr>
        <w:pStyle w:val="ListBullet"/>
        <w:spacing w:after="40"/>
        <w:rPr>
          <w:rFonts w:hint="eastAsia"/>
        </w:rPr>
      </w:pPr>
      <w:r>
        <w:rPr>
          <w:b/>
        </w:rPr>
        <w:t xml:space="preserve">Churn score vs churn risk: </w:t>
      </w:r>
      <w:r>
        <w:t>Correlation approximately 0.85.</w:t>
      </w:r>
    </w:p>
    <w:p w14:paraId="442C5D21" w14:textId="77777777" w:rsidR="00070A0F" w:rsidRDefault="00000000">
      <w:pPr>
        <w:rPr>
          <w:rFonts w:hint="eastAsia"/>
        </w:rPr>
      </w:pPr>
      <w:r>
        <w:rPr>
          <w:b/>
          <w:color w:val="6F52B5"/>
          <w:sz w:val="18"/>
        </w:rPr>
        <w:t xml:space="preserve">Note: </w:t>
      </w:r>
      <w:r>
        <w:rPr>
          <w:color w:val="667085"/>
          <w:sz w:val="18"/>
        </w:rPr>
        <w:t>The correlation values depend on the notebook's numeric encoding of categorical variables. Correlation indicates association, not causation.</w:t>
      </w:r>
    </w:p>
    <w:p w14:paraId="74FD9606" w14:textId="77777777" w:rsidR="00070A0F" w:rsidRDefault="00000000">
      <w:pPr>
        <w:rPr>
          <w:rFonts w:hint="eastAsia"/>
        </w:rPr>
      </w:pPr>
      <w:r>
        <w:br w:type="page"/>
      </w:r>
    </w:p>
    <w:p w14:paraId="3F71589E" w14:textId="77777777" w:rsidR="00070A0F" w:rsidRDefault="00000000">
      <w:pPr>
        <w:rPr>
          <w:rFonts w:hint="eastAsia"/>
        </w:rPr>
      </w:pPr>
      <w:r>
        <w:rPr>
          <w:b/>
          <w:color w:val="213547"/>
          <w:sz w:val="44"/>
        </w:rPr>
        <w:lastRenderedPageBreak/>
        <w:t>Key Takeaways for the Project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70A0F" w14:paraId="0AED86BB" w14:textId="77777777">
        <w:trPr>
          <w:tblHeader/>
          <w:jc w:val="center"/>
        </w:trPr>
        <w:tc>
          <w:tcPr>
            <w:tcW w:w="10080" w:type="dxa"/>
            <w:tcBorders>
              <w:top w:val="single" w:sz="10" w:space="0" w:color="6F52B5"/>
              <w:left w:val="single" w:sz="10" w:space="0" w:color="6F52B5"/>
              <w:bottom w:val="single" w:sz="10" w:space="0" w:color="6F52B5"/>
              <w:right w:val="single" w:sz="10" w:space="0" w:color="6F52B5"/>
            </w:tcBorders>
            <w:shd w:val="clear" w:color="auto" w:fill="F3F0FA"/>
          </w:tcPr>
          <w:p w14:paraId="7A6189B9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6F52B5"/>
              </w:rPr>
              <w:t>Retention pattern</w:t>
            </w:r>
            <w:r>
              <w:rPr>
                <w:b/>
                <w:color w:val="6F52B5"/>
              </w:rPr>
              <w:br/>
            </w:r>
            <w:r>
              <w:rPr>
                <w:color w:val="263238"/>
              </w:rPr>
              <w:t>Churn is higher among newer-tenure customers and monthly-contract customers in the analyzed dataset.</w:t>
            </w:r>
          </w:p>
        </w:tc>
      </w:tr>
    </w:tbl>
    <w:p w14:paraId="5556659C" w14:textId="77777777" w:rsidR="00070A0F" w:rsidRDefault="00070A0F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70A0F" w14:paraId="7EC155F0" w14:textId="77777777">
        <w:trPr>
          <w:tblHeader/>
          <w:jc w:val="center"/>
        </w:trPr>
        <w:tc>
          <w:tcPr>
            <w:tcW w:w="10080" w:type="dxa"/>
            <w:tcBorders>
              <w:top w:val="single" w:sz="10" w:space="0" w:color="6F52B5"/>
              <w:left w:val="single" w:sz="10" w:space="0" w:color="6F52B5"/>
              <w:bottom w:val="single" w:sz="10" w:space="0" w:color="6F52B5"/>
              <w:right w:val="single" w:sz="10" w:space="0" w:color="6F52B5"/>
            </w:tcBorders>
            <w:shd w:val="clear" w:color="auto" w:fill="F3F0FA"/>
          </w:tcPr>
          <w:p w14:paraId="6E84FBEB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6F52B5"/>
              </w:rPr>
              <w:t>Customer experience</w:t>
            </w:r>
            <w:r>
              <w:rPr>
                <w:b/>
                <w:color w:val="6F52B5"/>
              </w:rPr>
              <w:br/>
            </w:r>
            <w:r>
              <w:rPr>
                <w:color w:val="263238"/>
              </w:rPr>
              <w:t>Lower CSAT bands and higher complaint counts are associated with higher observed churn rates.</w:t>
            </w:r>
          </w:p>
        </w:tc>
      </w:tr>
    </w:tbl>
    <w:p w14:paraId="5A0AC3DC" w14:textId="77777777" w:rsidR="00070A0F" w:rsidRDefault="00070A0F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70A0F" w14:paraId="695BD137" w14:textId="77777777">
        <w:trPr>
          <w:tblHeader/>
          <w:jc w:val="center"/>
        </w:trPr>
        <w:tc>
          <w:tcPr>
            <w:tcW w:w="10080" w:type="dxa"/>
            <w:tcBorders>
              <w:top w:val="single" w:sz="10" w:space="0" w:color="6F52B5"/>
              <w:left w:val="single" w:sz="10" w:space="0" w:color="6F52B5"/>
              <w:bottom w:val="single" w:sz="10" w:space="0" w:color="6F52B5"/>
              <w:right w:val="single" w:sz="10" w:space="0" w:color="6F52B5"/>
            </w:tcBorders>
            <w:shd w:val="clear" w:color="auto" w:fill="F3F0FA"/>
          </w:tcPr>
          <w:p w14:paraId="6A08A982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6F52B5"/>
              </w:rPr>
              <w:t>Risk segmentation</w:t>
            </w:r>
            <w:r>
              <w:rPr>
                <w:b/>
                <w:color w:val="6F52B5"/>
              </w:rPr>
              <w:br/>
            </w:r>
            <w:r>
              <w:rPr>
                <w:color w:val="263238"/>
              </w:rPr>
              <w:t>The churn-risk groups provide a clear descriptive separation in observed churn rates.</w:t>
            </w:r>
          </w:p>
        </w:tc>
      </w:tr>
    </w:tbl>
    <w:p w14:paraId="027627E4" w14:textId="77777777" w:rsidR="00070A0F" w:rsidRDefault="00070A0F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70A0F" w14:paraId="3174F497" w14:textId="77777777">
        <w:trPr>
          <w:tblHeader/>
          <w:jc w:val="center"/>
        </w:trPr>
        <w:tc>
          <w:tcPr>
            <w:tcW w:w="10080" w:type="dxa"/>
            <w:tcBorders>
              <w:top w:val="single" w:sz="10" w:space="0" w:color="6F52B5"/>
              <w:left w:val="single" w:sz="10" w:space="0" w:color="6F52B5"/>
              <w:bottom w:val="single" w:sz="10" w:space="0" w:color="6F52B5"/>
              <w:right w:val="single" w:sz="10" w:space="0" w:color="6F52B5"/>
            </w:tcBorders>
            <w:shd w:val="clear" w:color="auto" w:fill="F3F0FA"/>
          </w:tcPr>
          <w:p w14:paraId="09E50171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6F52B5"/>
              </w:rPr>
              <w:t>Financial impact</w:t>
            </w:r>
            <w:r>
              <w:rPr>
                <w:b/>
                <w:color w:val="6F52B5"/>
              </w:rPr>
              <w:br/>
            </w:r>
            <w:r>
              <w:rPr>
                <w:color w:val="263238"/>
              </w:rPr>
              <w:t>Churn is linked to 39,894.72 of monthly revenue at risk in the processed dataset.</w:t>
            </w:r>
          </w:p>
        </w:tc>
      </w:tr>
    </w:tbl>
    <w:p w14:paraId="6ED81996" w14:textId="77777777" w:rsidR="00070A0F" w:rsidRDefault="00070A0F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70A0F" w14:paraId="747F7EEC" w14:textId="77777777">
        <w:trPr>
          <w:tblHeader/>
          <w:jc w:val="center"/>
        </w:trPr>
        <w:tc>
          <w:tcPr>
            <w:tcW w:w="10080" w:type="dxa"/>
            <w:tcBorders>
              <w:top w:val="single" w:sz="10" w:space="0" w:color="6F52B5"/>
              <w:left w:val="single" w:sz="10" w:space="0" w:color="6F52B5"/>
              <w:bottom w:val="single" w:sz="10" w:space="0" w:color="6F52B5"/>
              <w:right w:val="single" w:sz="10" w:space="0" w:color="6F52B5"/>
            </w:tcBorders>
            <w:shd w:val="clear" w:color="auto" w:fill="F3F0FA"/>
          </w:tcPr>
          <w:p w14:paraId="735A9127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6F52B5"/>
              </w:rPr>
              <w:t>Customer value</w:t>
            </w:r>
            <w:r>
              <w:rPr>
                <w:b/>
                <w:color w:val="6F52B5"/>
              </w:rPr>
              <w:br/>
            </w:r>
            <w:r>
              <w:rPr>
                <w:color w:val="263238"/>
              </w:rPr>
              <w:t>Retained customers have higher average CLTV than churned customers.</w:t>
            </w:r>
          </w:p>
        </w:tc>
      </w:tr>
    </w:tbl>
    <w:p w14:paraId="5A352A61" w14:textId="77777777" w:rsidR="00070A0F" w:rsidRDefault="00070A0F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70A0F" w14:paraId="70D066C7" w14:textId="77777777">
        <w:trPr>
          <w:tblHeader/>
          <w:jc w:val="center"/>
        </w:trPr>
        <w:tc>
          <w:tcPr>
            <w:tcW w:w="10080" w:type="dxa"/>
            <w:tcBorders>
              <w:top w:val="single" w:sz="10" w:space="0" w:color="6F52B5"/>
              <w:left w:val="single" w:sz="10" w:space="0" w:color="6F52B5"/>
              <w:bottom w:val="single" w:sz="10" w:space="0" w:color="6F52B5"/>
              <w:right w:val="single" w:sz="10" w:space="0" w:color="6F52B5"/>
            </w:tcBorders>
            <w:shd w:val="clear" w:color="auto" w:fill="F3F0FA"/>
          </w:tcPr>
          <w:p w14:paraId="44A7B4D0" w14:textId="77777777" w:rsidR="00070A0F" w:rsidRDefault="00000000">
            <w:pPr>
              <w:rPr>
                <w:rFonts w:hint="eastAsia"/>
              </w:rPr>
            </w:pPr>
            <w:r>
              <w:rPr>
                <w:b/>
                <w:color w:val="6F52B5"/>
              </w:rPr>
              <w:t>Reason distribution</w:t>
            </w:r>
            <w:r>
              <w:rPr>
                <w:b/>
                <w:color w:val="6F52B5"/>
              </w:rPr>
              <w:br/>
            </w:r>
            <w:r>
              <w:rPr>
                <w:color w:val="263238"/>
              </w:rPr>
              <w:t>The largest recorded cancellation reasons are No longer interested and Too expensive, followed by content and support-related reasons.</w:t>
            </w:r>
          </w:p>
        </w:tc>
      </w:tr>
    </w:tbl>
    <w:p w14:paraId="0603CA9F" w14:textId="77777777" w:rsidR="00070A0F" w:rsidRDefault="00070A0F">
      <w:pPr>
        <w:spacing w:after="0"/>
        <w:rPr>
          <w:rFonts w:hint="eastAsia"/>
        </w:rPr>
      </w:pPr>
    </w:p>
    <w:p w14:paraId="5A80DFA5" w14:textId="77777777" w:rsidR="00070A0F" w:rsidRDefault="00070A0F">
      <w:pPr>
        <w:rPr>
          <w:rFonts w:hint="eastAsia"/>
        </w:rPr>
      </w:pPr>
    </w:p>
    <w:p w14:paraId="1D10AB63" w14:textId="77777777" w:rsidR="00070A0F" w:rsidRDefault="00000000">
      <w:pPr>
        <w:jc w:val="center"/>
        <w:rPr>
          <w:rFonts w:hint="eastAsia"/>
        </w:rPr>
      </w:pPr>
      <w:r>
        <w:rPr>
          <w:color w:val="667085"/>
          <w:sz w:val="16"/>
        </w:rPr>
        <w:t>Source: churn_analysis notebook and its generated visualization outputs.</w:t>
      </w:r>
    </w:p>
    <w:sectPr w:rsidR="00070A0F" w:rsidSect="00034616">
      <w:headerReference w:type="default" r:id="rId19"/>
      <w:footerReference w:type="default" r:id="rId2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1EA" w14:textId="77777777" w:rsidR="009E050A" w:rsidRDefault="009E05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F6DAC8" w14:textId="77777777" w:rsidR="009E050A" w:rsidRDefault="009E05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BFE9E" w14:textId="77777777" w:rsidR="00070A0F" w:rsidRDefault="00000000">
    <w:pPr>
      <w:pStyle w:val="Footer"/>
      <w:jc w:val="right"/>
      <w:rPr>
        <w:rFonts w:hint="eastAsia"/>
      </w:rPr>
    </w:pPr>
    <w:r>
      <w:rPr>
        <w:color w:val="667085"/>
        <w:sz w:val="16"/>
      </w:rPr>
      <w:t xml:space="preserve">Page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 xml:space="preserve"> PAGE </w:instrText>
    </w:r>
    <w:r w:rsidR="00CC0177">
      <w:rPr>
        <w:color w:val="667085"/>
        <w:sz w:val="16"/>
      </w:rPr>
      <w:fldChar w:fldCharType="separate"/>
    </w:r>
    <w:r w:rsidR="00CC0177">
      <w:rPr>
        <w:noProof/>
        <w:color w:val="667085"/>
        <w:sz w:val="16"/>
      </w:rPr>
      <w:t>1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AFD9D" w14:textId="77777777" w:rsidR="009E050A" w:rsidRDefault="009E05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F12C55" w14:textId="77777777" w:rsidR="009E050A" w:rsidRDefault="009E05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9996" w14:textId="77777777" w:rsidR="00070A0F" w:rsidRDefault="00000000">
    <w:pPr>
      <w:pStyle w:val="Header"/>
      <w:rPr>
        <w:rFonts w:hint="eastAsia"/>
      </w:rPr>
    </w:pPr>
    <w:r>
      <w:rPr>
        <w:color w:val="667085"/>
        <w:sz w:val="16"/>
      </w:rPr>
      <w:t>Customer Churn Analysis | Key Insights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507534">
    <w:abstractNumId w:val="8"/>
  </w:num>
  <w:num w:numId="2" w16cid:durableId="1435856699">
    <w:abstractNumId w:val="6"/>
  </w:num>
  <w:num w:numId="3" w16cid:durableId="1853760251">
    <w:abstractNumId w:val="5"/>
  </w:num>
  <w:num w:numId="4" w16cid:durableId="2059626036">
    <w:abstractNumId w:val="4"/>
  </w:num>
  <w:num w:numId="5" w16cid:durableId="2026134672">
    <w:abstractNumId w:val="7"/>
  </w:num>
  <w:num w:numId="6" w16cid:durableId="65343170">
    <w:abstractNumId w:val="3"/>
  </w:num>
  <w:num w:numId="7" w16cid:durableId="711806003">
    <w:abstractNumId w:val="2"/>
  </w:num>
  <w:num w:numId="8" w16cid:durableId="1793554618">
    <w:abstractNumId w:val="1"/>
  </w:num>
  <w:num w:numId="9" w16cid:durableId="1636450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A0F"/>
    <w:rsid w:val="0015074B"/>
    <w:rsid w:val="0029639D"/>
    <w:rsid w:val="00326F90"/>
    <w:rsid w:val="00921BF2"/>
    <w:rsid w:val="009E050A"/>
    <w:rsid w:val="00AA1D8D"/>
    <w:rsid w:val="00B47730"/>
    <w:rsid w:val="00CB0664"/>
    <w:rsid w:val="00CC0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73CB8"/>
  <w14:defaultImageDpi w14:val="300"/>
  <w15:docId w15:val="{AA6719C3-366B-475B-A348-E7D3BE5D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1354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52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135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1105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Churn Analysis - Key Insights</dc:title>
  <dc:subject>Notebook-derived customer churn insights with charts and descriptions</dc:subject>
  <dc:creator>OpenAI</dc:creator>
  <cp:keywords>customer churn, analytics, Python, Power BI, insights</cp:keywords>
  <dc:description>generated by python-docx</dc:description>
  <cp:lastModifiedBy>Adrij Das</cp:lastModifiedBy>
  <cp:revision>2</cp:revision>
  <dcterms:created xsi:type="dcterms:W3CDTF">2013-12-23T23:15:00Z</dcterms:created>
  <dcterms:modified xsi:type="dcterms:W3CDTF">2026-09-24T13:56:00Z</dcterms:modified>
  <cp:category/>
</cp:coreProperties>
</file>