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done in the Services Tab of the DHCP Server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</w:t>
        <w:br w:type="textWrapping"/>
        <w:t xml:space="preserve">R1&gt;conf t</w:t>
        <w:br w:type="textWrapping"/>
        <w:t xml:space="preserve">R1(config)#interface gigabitEthernet 0/0</w:t>
        <w:br w:type="textWrapping"/>
        <w:t xml:space="preserve">R1(config-if)#ip helper-address 192.168.60.253</w:t>
        <w:br w:type="textWrapping"/>
        <w:t xml:space="preserve">R1(config-if)#exit</w:t>
        <w:br w:type="textWrapping"/>
        <w:t xml:space="preserve">R1(config)#exit</w:t>
        <w:br w:type="textWrapping"/>
        <w:t xml:space="preserve">R1#exit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in PC1’s IP Configuration mode from Desktop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web browser of the desktop of PC1 typed the addresses cisco.com and publicsite.com. The results are as following: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  <w:drawing>
          <wp:inline distB="0" distT="0" distL="0" distR="0">
            <wp:extent cx="6010275" cy="3086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342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  <w:drawing>
          <wp:inline distB="0" distT="0" distL="0" distR="0">
            <wp:extent cx="6019800" cy="34829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326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8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