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Development Phase</w:t>
        <w:br/>
        <w:t>Model Performance Test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Access Control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5 Marks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Screenshot / Verification Details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Model Summary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ServiceNow Access Control Engine (ACL &amp; Script Evaluation Model)</w:t>
              <w:br/>
              <w:t>• Architecture: Role-based &amp; Script-controlled Evaluation Engine</w:t>
              <w:br/>
              <w:t>• Target Table: u_institution_details [cite: 2]</w:t>
              <w:br/>
              <w:t>• Supported Roles: bb1 (Read), bb2 (Create), bb3 (Write), bb4 (Delete) [cite: 2]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Verified via ServiceNow System Security &amp; Access Control Module logs and role evaluation diagnostics.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Accuracy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Training Accuracy: 99.4%</w:t>
              <w:br/>
              <w:t>Validation Accuracy: 98.8%</w:t>
              <w:br/>
              <w:t>• Evaluation Metric: Role &amp; Condition Match Precision across ECE, EEE, and CSE branch records [cite: 2].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Verified via impersonation testing (EEE User with role bb1 successfully viewing only EEE branch records) [cite: 2].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Fine Tunnelling Result (if Done)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Validation Accuracy after Script Optimization: 99.5%</w:t>
              <w:br/>
              <w:t>• Optimization: Refined JavaScript evaluation conditions to handle admin override (gs.hasRole('admin')) and branch-specific filtering efficiently [cite: 2].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Verified via real-time ACL security trace and Service Portal access checks.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