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06 October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SWTID-2026-9818</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Script-Controlled Record-Level Security in ServiceNow using ACLs (Institution Details)</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4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Pr/>
        <w:drawing>
          <wp:inline distB="0" distT="0" distL="0" distR="0">
            <wp:extent cx="5731510" cy="3974465"/>
            <wp:effectExtent b="0" l="0" r="0" t="0"/>
            <wp:docPr descr="Diagram  Description automatically generated" id="5" name="image2.jpg"/>
            <a:graphic>
              <a:graphicData uri="http://schemas.openxmlformats.org/drawingml/2006/picture">
                <pic:pic>
                  <pic:nvPicPr>
                    <pic:cNvPr descr="Diagram  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Pr>
          <w:rtl w:val="0"/>
        </w:rPr>
      </w:r>
    </w:p>
    <w:p w:rsidR="00000000" w:rsidDel="00000000" w:rsidP="00000000" w:rsidRDefault="00000000" w:rsidRPr="00000000" w14:paraId="00000014">
      <w:pPr>
        <w:rPr>
          <w:sz w:val="24"/>
          <w:szCs w:val="24"/>
        </w:rPr>
      </w:pPr>
      <w:r>
        <w:rPr>
          <w:rtl w:val="0"/>
        </w:rPr>
      </w:r>
    </w:p>
    <w:p w:rsidR="00000000" w:rsidDel="00000000" w:rsidP="00000000" w:rsidRDefault="00000000" w:rsidRPr="00000000" w14:paraId="00000015">
      <w:pPr>
        <w:rPr/>
      </w:pPr>
      <w:r>
        <w:rPr>
          <w:sz w:val="24"/>
          <w:szCs w:val="24"/>
          <w:rtl w:val="0"/>
        </w:rPr>
        <w:t xml:space="preserve">Reference: </w:t>
      </w:r>
      <w:hyperlink r:id="rId8">
        <w:r>
          <w:rPr>
            <w:color w:val="0563c1"/>
            <w:u w:val="single"/>
            <w:rtl w:val="0"/>
          </w:rPr>
          <w:t xml:space="preserve">https://www.mural.co/templates/empathy-map-canvas</w:t>
        </w:r>
      </w:hyperlink>
      <w:r>
        <w:rPr>
          <w:rtl w:val="0"/>
        </w:rPr>
      </w:r>
    </w:p>
    <w:p w:rsidR="00000000" w:rsidDel="00000000" w:rsidP="00000000" w:rsidRDefault="00000000" w:rsidRPr="00000000" w14:paraId="00000016">
      <w:pPr>
        <w:jc w:val="both"/>
        <w:rPr>
          <w:b w:val="1"/>
          <w:color w:val="2a2a2a"/>
          <w:sz w:val="24"/>
          <w:szCs w:val="24"/>
        </w:rPr>
      </w:pPr>
      <w:r>
        <w:rPr>
          <w:rtl w:val="0"/>
        </w:rPr>
      </w:r>
    </w:p>
    <w:p w:rsidR="00000000" w:rsidDel="00000000" w:rsidP="00000000" w:rsidRDefault="00000000" w:rsidRPr="00000000" w14:paraId="00000017">
      <w:pPr>
        <w:jc w:val="both"/>
        <w:rPr>
          <w:b w:val="1"/>
          <w:color w:val="2a2a2a"/>
          <w:sz w:val="24"/>
          <w:szCs w:val="24"/>
        </w:rPr>
      </w:pPr>
      <w:r>
        <w:rPr>
          <w:rtl w:val="0"/>
        </w:rPr>
      </w:r>
    </w:p>
    <w:p w:rsidR="00000000" w:rsidDel="00000000" w:rsidP="00000000" w:rsidRDefault="00000000" w:rsidRPr="00000000" w14:paraId="00000018">
      <w:pPr>
        <w:jc w:val="both"/>
        <w:rPr>
          <w:b w:val="1"/>
          <w:color w:val="2a2a2a"/>
          <w:sz w:val="24"/>
          <w:szCs w:val="24"/>
        </w:rPr>
      </w:pPr>
      <w:r>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Pr/>
        <w:drawing>
          <wp:inline distB="0" distT="0" distL="0" distR="0">
            <wp:extent cx="5100449" cy="4371490"/>
            <wp:effectExtent b="0" l="0" r="0" t="0"/>
            <wp:docPr descr="Diagram  Description automatically generated" id="6" name="image1.jpg"/>
            <a:graphic>
              <a:graphicData uri="http://schemas.openxmlformats.org/drawingml/2006/picture">
                <pic:pic>
                  <pic:nvPicPr>
                    <pic:cNvPr descr="Diagram  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Pr>
          <w:rtl w:val="0"/>
        </w:rPr>
      </w:r>
    </w:p>
    <w:p>
      <w:pPr>
        <w:spacing w:before="40" w:after="40"/>
      </w:pPr>
      <w:r>
        <w:rPr>
          <w:b w:val="1"/>
          <w:sz w:val="24"/>
          <w:szCs w:val="24"/>
        </w:rPr>
        <w:t xml:space="preserve">Empathy Map: ServiceNow ACL Project (Institution Details)</w:t>
      </w:r>
    </w:p>
    <w:p>
      <w:pPr>
        <w:spacing w:before="40" w:after="40"/>
      </w:pPr>
      <w:r>
        <w:rPr>
          <w:sz w:val="22"/>
          <w:szCs w:val="22"/>
        </w:rPr>
        <w:t xml:space="preserve">User: a ServiceNow administrator / branch user (e.g. EEE User with roles bb1–bb4) who needs student records to be visible and editable only by the right people.</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4513"/>
        <w:gridCol w:w="4513"/>
      </w:tblGrid>
      <w:tr>
        <w:trPr>
          <w:cantSplit/>
        </w:trPr>
        <w:tc>
          <w:tcPr>
            <w:tcW w:w="4513" w:type="dxa"/>
            <w:shd w:val="clear" w:color="auto" w:fill="DEEAF6"/>
          </w:tcPr>
          <w:p>
            <w:pPr>
              <w:spacing w:before="40" w:after="40"/>
            </w:pPr>
            <w:r>
              <w:rPr>
                <w:b w:val="1"/>
                <w:sz w:val="24"/>
                <w:szCs w:val="24"/>
              </w:rPr>
              <w:t xml:space="preserve">Says</w:t>
            </w:r>
          </w:p>
          <w:p>
            <w:pPr>
              <w:spacing w:before="40" w:after="40"/>
            </w:pPr>
            <w:r>
              <w:rPr>
                <w:sz w:val="21"/>
                <w:szCs w:val="21"/>
              </w:rPr>
              <w:t xml:space="preserve">• "Why can every user see all branches' student records?"</w:t>
            </w:r>
          </w:p>
          <w:p>
            <w:pPr>
              <w:spacing w:before="40" w:after="40"/>
            </w:pPr>
            <w:r>
              <w:rPr>
                <w:sz w:val="21"/>
                <w:szCs w:val="21"/>
              </w:rPr>
              <w:t xml:space="preserve">• "I need bb1 users to see only EEE records."</w:t>
            </w:r>
          </w:p>
          <w:p>
            <w:pPr>
              <w:spacing w:before="40" w:after="40"/>
            </w:pPr>
            <w:r>
              <w:rPr>
                <w:sz w:val="21"/>
                <w:szCs w:val="21"/>
              </w:rPr>
              <w:t xml:space="preserve">• "Give create, edit and delete as separate permissions."</w:t>
            </w:r>
          </w:p>
        </w:tc>
        <w:tc>
          <w:tcPr>
            <w:tcW w:w="4513" w:type="dxa"/>
            <w:shd w:val="clear" w:color="auto" w:fill="FFF2CC"/>
          </w:tcPr>
          <w:p>
            <w:pPr>
              <w:spacing w:before="40" w:after="40"/>
            </w:pPr>
            <w:r>
              <w:rPr>
                <w:b w:val="1"/>
                <w:sz w:val="24"/>
                <w:szCs w:val="24"/>
              </w:rPr>
              <w:t xml:space="preserve">Thinks</w:t>
            </w:r>
          </w:p>
          <w:p>
            <w:pPr>
              <w:spacing w:before="40" w:after="40"/>
            </w:pPr>
            <w:r>
              <w:rPr>
                <w:sz w:val="21"/>
                <w:szCs w:val="21"/>
              </w:rPr>
              <w:t xml:space="preserve">• Student data is sensitive and must be protected.</w:t>
            </w:r>
          </w:p>
          <w:p>
            <w:pPr>
              <w:spacing w:before="40" w:after="40"/>
            </w:pPr>
            <w:r>
              <w:rPr>
                <w:sz w:val="21"/>
                <w:szCs w:val="21"/>
              </w:rPr>
              <w:t xml:space="preserve">• Each role (bb1–bb4) should unlock exactly one action.</w:t>
            </w:r>
          </w:p>
          <w:p>
            <w:pPr>
              <w:spacing w:before="40" w:after="40"/>
            </w:pPr>
            <w:r>
              <w:rPr>
                <w:sz w:val="21"/>
                <w:szCs w:val="21"/>
              </w:rPr>
              <w:t xml:space="preserve">• Admins must keep full access regardless of branch.</w:t>
            </w:r>
          </w:p>
        </w:tc>
      </w:tr>
      <w:tr>
        <w:trPr>
          <w:cantSplit/>
        </w:trPr>
        <w:tc>
          <w:tcPr>
            <w:tcW w:w="4513" w:type="dxa"/>
            <w:shd w:val="clear" w:color="auto" w:fill="E2EFDA"/>
          </w:tcPr>
          <w:p>
            <w:pPr>
              <w:spacing w:before="40" w:after="40"/>
            </w:pPr>
            <w:r>
              <w:rPr>
                <w:b w:val="1"/>
                <w:sz w:val="24"/>
                <w:szCs w:val="24"/>
              </w:rPr>
              <w:t xml:space="preserve">Does</w:t>
            </w:r>
          </w:p>
          <w:p>
            <w:pPr>
              <w:spacing w:before="40" w:after="40"/>
            </w:pPr>
            <w:r>
              <w:rPr>
                <w:sz w:val="21"/>
                <w:szCs w:val="21"/>
              </w:rPr>
              <w:t xml:space="preserve">• Creates the EEE User and roles bb1–bb4.</w:t>
            </w:r>
          </w:p>
          <w:p>
            <w:pPr>
              <w:spacing w:before="40" w:after="40"/>
            </w:pPr>
            <w:r>
              <w:rPr>
                <w:sz w:val="21"/>
                <w:szCs w:val="21"/>
              </w:rPr>
              <w:t xml:space="preserve">• Builds the u_institution_details table and adds records for ECE, EEE and CSE.</w:t>
            </w:r>
          </w:p>
          <w:p>
            <w:pPr>
              <w:spacing w:before="40" w:after="40"/>
            </w:pPr>
            <w:r>
              <w:rPr>
                <w:sz w:val="21"/>
                <w:szCs w:val="21"/>
              </w:rPr>
              <w:t xml:space="preserve">• Writes READ, CREATE, WRITE and DELETE ACLs, then impersonates users to test them.</w:t>
            </w:r>
          </w:p>
        </w:tc>
        <w:tc>
          <w:tcPr>
            <w:tcW w:w="4513" w:type="dxa"/>
            <w:shd w:val="clear" w:color="auto" w:fill="FCE4D6"/>
          </w:tcPr>
          <w:p>
            <w:pPr>
              <w:spacing w:before="40" w:after="40"/>
            </w:pPr>
            <w:r>
              <w:rPr>
                <w:b w:val="1"/>
                <w:sz w:val="24"/>
                <w:szCs w:val="24"/>
              </w:rPr>
              <w:t xml:space="preserve">Feels</w:t>
            </w:r>
          </w:p>
          <w:p>
            <w:pPr>
              <w:spacing w:before="40" w:after="40"/>
            </w:pPr>
            <w:r>
              <w:rPr>
                <w:sz w:val="21"/>
                <w:szCs w:val="21"/>
              </w:rPr>
              <w:t xml:space="preserve">• Worried about unauthorized viewing or editing of records.</w:t>
            </w:r>
          </w:p>
          <w:p>
            <w:pPr>
              <w:spacing w:before="40" w:after="40"/>
            </w:pPr>
            <w:r>
              <w:rPr>
                <w:sz w:val="21"/>
                <w:szCs w:val="21"/>
              </w:rPr>
              <w:t xml:space="preserve">• Confused when access results don't match the roles.</w:t>
            </w:r>
          </w:p>
          <w:p>
            <w:pPr>
              <w:spacing w:before="40" w:after="40"/>
            </w:pPr>
            <w:r>
              <w:rPr>
                <w:sz w:val="21"/>
                <w:szCs w:val="21"/>
              </w:rPr>
              <w:t xml:space="preserve">• Confident and relieved once each ACL is verified.</w:t>
            </w:r>
          </w:p>
        </w:tc>
      </w:tr>
      <w:tr>
        <w:trPr>
          <w:cantSplit/>
        </w:trPr>
        <w:tc>
          <w:tcPr>
            <w:tcW w:w="4513" w:type="dxa"/>
            <w:shd w:val="clear" w:color="auto" w:fill="F8CBAD"/>
          </w:tcPr>
          <w:p>
            <w:pPr>
              <w:spacing w:before="40" w:after="40"/>
            </w:pPr>
            <w:r>
              <w:rPr>
                <w:b w:val="1"/>
                <w:sz w:val="24"/>
                <w:szCs w:val="24"/>
              </w:rPr>
              <w:t xml:space="preserve">Pains</w:t>
            </w:r>
          </w:p>
          <w:p>
            <w:pPr>
              <w:spacing w:before="40" w:after="40"/>
            </w:pPr>
            <w:r>
              <w:rPr>
                <w:sz w:val="21"/>
                <w:szCs w:val="21"/>
              </w:rPr>
              <w:t xml:space="preserve">• No record-level restriction on the table.</w:t>
            </w:r>
          </w:p>
          <w:p>
            <w:pPr>
              <w:spacing w:before="40" w:after="40"/>
            </w:pPr>
            <w:r>
              <w:rPr>
                <w:sz w:val="21"/>
                <w:szCs w:val="21"/>
              </w:rPr>
              <w:t xml:space="preserve">• Access mixes up roles and branch values.</w:t>
            </w:r>
          </w:p>
          <w:p>
            <w:pPr>
              <w:spacing w:before="40" w:after="40"/>
            </w:pPr>
            <w:r>
              <w:rPr>
                <w:sz w:val="21"/>
                <w:szCs w:val="21"/>
              </w:rPr>
              <w:t xml:space="preserve">• Hard to test without impersonation and elevated security_admin role.</w:t>
            </w:r>
          </w:p>
        </w:tc>
        <w:tc>
          <w:tcPr>
            <w:tcW w:w="4513" w:type="dxa"/>
            <w:shd w:val="clear" w:color="auto" w:fill="C6E0B4"/>
          </w:tcPr>
          <w:p>
            <w:pPr>
              <w:spacing w:before="40" w:after="40"/>
            </w:pPr>
            <w:r>
              <w:rPr>
                <w:b w:val="1"/>
                <w:sz w:val="24"/>
                <w:szCs w:val="24"/>
              </w:rPr>
              <w:t xml:space="preserve">Gains</w:t>
            </w:r>
          </w:p>
          <w:p>
            <w:pPr>
              <w:spacing w:before="40" w:after="40"/>
            </w:pPr>
            <w:r>
              <w:rPr>
                <w:sz w:val="21"/>
                <w:szCs w:val="21"/>
              </w:rPr>
              <w:t xml:space="preserve">• Only authorized roles can read, create, edit or delete records.</w:t>
            </w:r>
          </w:p>
          <w:p>
            <w:pPr>
              <w:spacing w:before="40" w:after="40"/>
            </w:pPr>
            <w:r>
              <w:rPr>
                <w:sz w:val="21"/>
                <w:szCs w:val="21"/>
              </w:rPr>
              <w:t xml:space="preserve">• Branch-based visibility (bb1 sees only EEE records).</w:t>
            </w:r>
          </w:p>
          <w:p>
            <w:pPr>
              <w:spacing w:before="40" w:after="40"/>
            </w:pPr>
            <w:r>
              <w:rPr>
                <w:sz w:val="21"/>
                <w:szCs w:val="21"/>
              </w:rPr>
              <w:t xml:space="preserve">• Clear understanding of script-controlled ACLs.</w:t>
            </w:r>
          </w:p>
        </w:tc>
      </w:tr>
    </w:tbl>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