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06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SWTID-2026-9818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Script-Controlled Record-Level Security in ServiceNow using ACLs (Institution Details)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ServiceNow access-control setup for protecting the Institution Details table (u_institution_details) using custom roles (bb1–bb4) and script-controlled READ, CREATE, WRITE and DELETE ACLs.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Note: Access is granted only when the user holds the required role and the record matches the ACL data condition (Branch is EEE). Admin users keep full access; all other users are denied.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rPr>
                <w:i/>
              </w:rPr>
              <w:t xml:space="preserve">[Insert screenshot: Institution Details table and ACL list]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Accuracy (Access Verification Results)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Not applicable – no machine learning model is used. Verification results: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• bb1 user sees only EEE branch records.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• User without the role sees no records.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• Admin sees all records regardless of branch.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• bb1 + bb2: EEE records and New button.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• bb1 + bb2 + bb3: view and edit EEE records.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• bb1–bb4: view, create, edit and delete EEE records.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i/>
              </w:rPr>
              <w:t xml:space="preserve">[Insert screenshots: list views as EEE User and as Admin]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(Not applicable)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Not applicable – this is not a YOLO / ML project.</w:t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ACL decisions are deterministic: the READ ACL script returns true for admin or bb1 users and false for everyone else, so each access decision is either allowed or denied.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>
              <w:rPr>
                <w:i/>
              </w:rPr>
              <w:t xml:space="preserve">[Insert screenshot: ACL script / ACL records]</w:t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