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06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SWTID-2026-9818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Script-Controlled Record-Level Security in ServiceNow using ACLs (Institution Details)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Regression Model: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</w:rPr>
              <w:t xml:space="preserve">Not applicable – no regression model is used in this project.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</w:rPr>
              <w:t xml:space="preserve"/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Classification Model: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</w:rPr>
              <w:t xml:space="preserve">Not applicable – no classification model is used.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</w:rPr>
              <w:t xml:space="preserve"/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Access Verification Results (used instead of ML metrics):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</w:rPr>
              <w:t xml:space="preserve">• bb1 user: sees only EEE branch records.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</w:rPr>
              <w:t xml:space="preserve">• User without the role: sees no records.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</w:rPr>
              <w:t xml:space="preserve">• Admin: sees all records regardless of branch.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</w:rPr>
              <w:t xml:space="preserve">• bb1 + bb2: EEE records and the New button.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</w:rPr>
              <w:t xml:space="preserve">• bb1 + bb2 + bb3: view and edit EEE records, with the New button.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</w:rPr>
              <w:t xml:space="preserve">• bb1 + bb2 + bb3 + bb4: view, create, edit and delete EEE records.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i/>
              </w:rPr>
              <w:t xml:space="preserve">[Insert screenshots: Student Records list as EEE User and as Admin]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Hyperparameter Tuning - 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Not applicable (no ML model). Access rules are tuned by adjusting the role and data condition on each ACL (bb1 + Branch is EEE for READ; bb2 for CREATE; bb3 for WRITE; bb4 for DELETE).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/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Validation Method - 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Manual validation by impersonating EEE User, a user without the roles, and Admin, then opening the Student Records list (u_institution_details.list) after each ACL is saved.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i/>
              </w:rPr>
              <w:t xml:space="preserve">[Insert screenshots: ACL records and impersonation test]</w:t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