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Project Design Phase</w:t>
        <w:br/>
        <w:t>Problem – Solution Fit Template</w:t>
      </w:r>
    </w:p>
    <w:p/>
    <w:tbl>
      <w:tblPr>
        <w:tblW w:type="auto" w:w="0"/>
        <w:jc w:val="center"/>
        <w:tblLook w:firstColumn="1" w:firstRow="1" w:lastColumn="0" w:lastRow="0" w:noHBand="0" w:noVBand="1" w:val="04A0"/>
      </w:tblPr>
      <w:tblGrid>
        <w:gridCol w:w="2340"/>
        <w:gridCol w:w="2340"/>
        <w:gridCol w:w="2340"/>
        <w:gridCol w:w="2340"/>
      </w:tblGrid>
      <w:tr>
        <w:tc>
          <w:tcPr>
            <w:tcW w:type="dxa" w:w="2340"/>
            <w:shd w:fill="F2F2F2"/>
            <w:tcMar>
              <w:top w:w="120" w:type="dxa"/>
              <w:bottom w:w="120" w:type="dxa"/>
              <w:left w:w="150" w:type="dxa"/>
              <w:right w:w="150" w:type="dxa"/>
            </w:tcMar>
          </w:tcPr>
          <w:p>
            <w:r>
              <w:rPr>
                <w:b/>
                <w:color w:val="323232"/>
                <w:sz w:val="20"/>
              </w:rPr>
              <w:t>Date:</w:t>
            </w:r>
          </w:p>
        </w:tc>
        <w:tc>
          <w:tcPr>
            <w:tcW w:type="dxa" w:w="2340"/>
            <w:shd w:fill="F2F2F2"/>
            <w:tcMar>
              <w:top w:w="120" w:type="dxa"/>
              <w:bottom w:w="120" w:type="dxa"/>
              <w:left w:w="150" w:type="dxa"/>
              <w:right w:w="150" w:type="dxa"/>
            </w:tcMar>
          </w:tcPr>
          <w:p>
            <w:r>
              <w:rPr>
                <w:b w:val="0"/>
                <w:color w:val="323232"/>
                <w:sz w:val="20"/>
              </w:rPr>
              <w:t>06 October 2026</w:t>
            </w:r>
          </w:p>
        </w:tc>
        <w:tc>
          <w:tcPr>
            <w:tcW w:type="dxa" w:w="2340"/>
            <w:shd w:fill="F2F2F2"/>
            <w:tcMar>
              <w:top w:w="120" w:type="dxa"/>
              <w:bottom w:w="120" w:type="dxa"/>
              <w:left w:w="150" w:type="dxa"/>
              <w:right w:w="150" w:type="dxa"/>
            </w:tcMar>
          </w:tcPr>
          <w:p>
            <w:r>
              <w:rPr>
                <w:b/>
                <w:color w:val="323232"/>
                <w:sz w:val="20"/>
              </w:rPr>
              <w:t>Team ID:</w:t>
            </w:r>
          </w:p>
        </w:tc>
        <w:tc>
          <w:tcPr>
            <w:tcW w:type="dxa" w:w="2340"/>
            <w:shd w:fill="F2F2F2"/>
            <w:tcMar>
              <w:top w:w="120" w:type="dxa"/>
              <w:bottom w:w="120" w:type="dxa"/>
              <w:left w:w="150" w:type="dxa"/>
              <w:right w:w="150" w:type="dxa"/>
            </w:tcMar>
          </w:tcPr>
          <w:p>
            <w:r>
              <w:rPr>
                <w:b w:val="0"/>
                <w:color w:val="323232"/>
                <w:sz w:val="20"/>
              </w:rPr>
              <w:t>SWTID-2026-9818</w:t>
            </w:r>
          </w:p>
        </w:tc>
      </w:tr>
      <w:tr>
        <w:tc>
          <w:tcPr>
            <w:tcW w:type="dxa" w:w="2340"/>
            <w:shd w:fill="FFFFFF"/>
            <w:tcMar>
              <w:top w:w="120" w:type="dxa"/>
              <w:bottom w:w="120" w:type="dxa"/>
              <w:left w:w="150" w:type="dxa"/>
              <w:right w:w="150" w:type="dxa"/>
            </w:tcMar>
          </w:tcPr>
          <w:p>
            <w:r>
              <w:rPr>
                <w:b/>
                <w:color w:val="323232"/>
                <w:sz w:val="20"/>
              </w:rPr>
              <w:t>Project Name:</w:t>
            </w:r>
          </w:p>
        </w:tc>
        <w:tc>
          <w:tcPr>
            <w:tcW w:type="dxa" w:w="2340"/>
            <w:shd w:fill="FFFFFF"/>
            <w:tcMar>
              <w:top w:w="120" w:type="dxa"/>
              <w:bottom w:w="120" w:type="dxa"/>
              <w:left w:w="150" w:type="dxa"/>
              <w:right w:w="150" w:type="dxa"/>
            </w:tcMar>
          </w:tcPr>
          <w:p>
            <w:r>
              <w:rPr>
                <w:b w:val="0"/>
                <w:color w:val="323232"/>
                <w:sz w:val="20"/>
              </w:rPr>
              <w:t>ServiceNow Security &amp; Institution Portal</w:t>
            </w:r>
          </w:p>
        </w:tc>
        <w:tc>
          <w:tcPr>
            <w:tcW w:type="dxa" w:w="2340"/>
            <w:shd w:fill="FFFFFF"/>
            <w:tcMar>
              <w:top w:w="120" w:type="dxa"/>
              <w:bottom w:w="120" w:type="dxa"/>
              <w:left w:w="150" w:type="dxa"/>
              <w:right w:w="150" w:type="dxa"/>
            </w:tcMar>
          </w:tcPr>
          <w:p>
            <w:r>
              <w:rPr>
                <w:b/>
                <w:color w:val="323232"/>
                <w:sz w:val="20"/>
              </w:rPr>
              <w:t>Maximum Marks:</w:t>
            </w:r>
          </w:p>
        </w:tc>
        <w:tc>
          <w:tcPr>
            <w:tcW w:type="dxa" w:w="2340"/>
            <w:shd w:fill="FFFFFF"/>
            <w:tcMar>
              <w:top w:w="120" w:type="dxa"/>
              <w:bottom w:w="120" w:type="dxa"/>
              <w:left w:w="150" w:type="dxa"/>
              <w:right w:w="150" w:type="dxa"/>
            </w:tcMar>
          </w:tcPr>
          <w:p>
            <w:r>
              <w:rPr>
                <w:b w:val="0"/>
                <w:color w:val="323232"/>
                <w:sz w:val="20"/>
              </w:rPr>
              <w:t>2 Marks</w:t>
            </w:r>
          </w:p>
        </w:tc>
      </w:tr>
    </w:tbl>
    <w:p/>
    <w:p>
      <w:r>
        <w:rPr>
          <w:b/>
          <w:color w:val="1F4E79"/>
          <w:sz w:val="26"/>
        </w:rPr>
        <w:t>Problem – Solution Fit Overview &amp; Purpose</w:t>
      </w:r>
    </w:p>
    <w:p>
      <w:r>
        <w:rPr>
          <w:sz w:val="21"/>
        </w:rPr>
        <w:t>The Problem-Solution Fit ensures that the identified customer problem is effectively resolved by the proposed solution. It helps entrepreneurs, corporate innovators, and developers identify behavioral patterns, validate solutions, and ensure high adoption by targeting real institutional and data security needs [cite: 8].</w:t>
      </w:r>
    </w:p>
    <w:p/>
    <w:tbl>
      <w:tblPr>
        <w:tblW w:type="auto" w:w="0"/>
        <w:jc w:val="center"/>
        <w:tblLook w:firstColumn="1" w:firstRow="1" w:lastColumn="0" w:lastRow="0" w:noHBand="0" w:noVBand="1" w:val="04A0"/>
      </w:tblPr>
      <w:tblGrid>
        <w:gridCol w:w="3120"/>
        <w:gridCol w:w="3120"/>
        <w:gridCol w:w="3120"/>
      </w:tblGrid>
      <w:tr>
        <w:tc>
          <w:tcPr>
            <w:tcW w:type="dxa" w:w="3120"/>
            <w:shd w:fill="1F4E79"/>
            <w:tcMar>
              <w:top w:w="140" w:type="dxa"/>
              <w:bottom w:w="140" w:type="dxa"/>
              <w:left w:w="120" w:type="dxa"/>
              <w:right w:w="120" w:type="dxa"/>
            </w:tcMar>
          </w:tcPr>
          <w:p>
            <w:pPr>
              <w:jc w:val="center"/>
            </w:pPr>
            <w:r>
              <w:rPr>
                <w:b/>
                <w:color w:val="FFFFFF"/>
                <w:sz w:val="20"/>
              </w:rPr>
              <w:t>Canvas Block</w:t>
            </w:r>
          </w:p>
        </w:tc>
        <w:tc>
          <w:tcPr>
            <w:tcW w:type="dxa" w:w="3120"/>
            <w:shd w:fill="1F4E79"/>
            <w:tcMar>
              <w:top w:w="140" w:type="dxa"/>
              <w:bottom w:w="140" w:type="dxa"/>
              <w:left w:w="120" w:type="dxa"/>
              <w:right w:w="120" w:type="dxa"/>
            </w:tcMar>
          </w:tcPr>
          <w:p>
            <w:pPr>
              <w:jc w:val="center"/>
            </w:pPr>
            <w:r>
              <w:rPr>
                <w:b/>
                <w:color w:val="FFFFFF"/>
                <w:sz w:val="20"/>
              </w:rPr>
              <w:t>Parameter / Code</w:t>
            </w:r>
          </w:p>
        </w:tc>
        <w:tc>
          <w:tcPr>
            <w:tcW w:type="dxa" w:w="3120"/>
            <w:shd w:fill="1F4E79"/>
            <w:tcMar>
              <w:top w:w="140" w:type="dxa"/>
              <w:bottom w:w="140" w:type="dxa"/>
              <w:left w:w="120" w:type="dxa"/>
              <w:right w:w="120" w:type="dxa"/>
            </w:tcMar>
          </w:tcPr>
          <w:p>
            <w:pPr>
              <w:jc w:val="center"/>
            </w:pPr>
            <w:r>
              <w:rPr>
                <w:b/>
                <w:color w:val="FFFFFF"/>
                <w:sz w:val="20"/>
              </w:rPr>
              <w:t>Description &amp; Analysis</w:t>
            </w:r>
          </w:p>
        </w:tc>
      </w:tr>
      <w:tr>
        <w:tc>
          <w:tcPr>
            <w:tcW w:type="dxa" w:w="3120"/>
            <w:tcMar>
              <w:top w:w="100" w:type="dxa"/>
              <w:bottom w:w="100" w:type="dxa"/>
              <w:left w:w="120" w:type="dxa"/>
              <w:right w:w="120" w:type="dxa"/>
            </w:tcMar>
          </w:tcPr>
          <w:p>
            <w:pPr>
              <w:jc w:val="center"/>
            </w:pPr>
            <w:r>
              <w:rPr>
                <w:sz w:val="19"/>
              </w:rPr>
              <w:t>1. Customer Segment(s)</w:t>
            </w:r>
          </w:p>
        </w:tc>
        <w:tc>
          <w:tcPr>
            <w:tcW w:type="dxa" w:w="3120"/>
            <w:tcMar>
              <w:top w:w="100" w:type="dxa"/>
              <w:bottom w:w="100" w:type="dxa"/>
              <w:left w:w="120" w:type="dxa"/>
              <w:right w:w="120" w:type="dxa"/>
            </w:tcMar>
          </w:tcPr>
          <w:p>
            <w:pPr>
              <w:jc w:val="center"/>
            </w:pPr>
            <w:r>
              <w:rPr>
                <w:sz w:val="19"/>
              </w:rPr>
              <w:t>CS</w:t>
            </w:r>
          </w:p>
        </w:tc>
        <w:tc>
          <w:tcPr>
            <w:tcW w:type="dxa" w:w="3120"/>
            <w:tcMar>
              <w:top w:w="100" w:type="dxa"/>
              <w:bottom w:w="100" w:type="dxa"/>
              <w:left w:w="120" w:type="dxa"/>
              <w:right w:w="120" w:type="dxa"/>
            </w:tcMar>
          </w:tcPr>
          <w:p>
            <w:r>
              <w:rPr>
                <w:sz w:val="19"/>
              </w:rPr>
              <w:t>Educational institutions, university administrators, IT security officers, and department staff managing student and faculty records [cite: 6].</w:t>
            </w:r>
          </w:p>
        </w:tc>
      </w:tr>
      <w:tr>
        <w:tc>
          <w:tcPr>
            <w:tcW w:type="dxa" w:w="3120"/>
            <w:tcMar>
              <w:top w:w="100" w:type="dxa"/>
              <w:bottom w:w="100" w:type="dxa"/>
              <w:left w:w="120" w:type="dxa"/>
              <w:right w:w="120" w:type="dxa"/>
            </w:tcMar>
          </w:tcPr>
          <w:p>
            <w:pPr>
              <w:jc w:val="center"/>
            </w:pPr>
            <w:r>
              <w:rPr>
                <w:sz w:val="19"/>
              </w:rPr>
              <w:t>2. Jobs-to-be-Done / Problems</w:t>
            </w:r>
          </w:p>
        </w:tc>
        <w:tc>
          <w:tcPr>
            <w:tcW w:type="dxa" w:w="3120"/>
            <w:tcMar>
              <w:top w:w="100" w:type="dxa"/>
              <w:bottom w:w="100" w:type="dxa"/>
              <w:left w:w="120" w:type="dxa"/>
              <w:right w:w="120" w:type="dxa"/>
            </w:tcMar>
          </w:tcPr>
          <w:p>
            <w:pPr>
              <w:jc w:val="center"/>
            </w:pPr>
            <w:r>
              <w:rPr>
                <w:sz w:val="19"/>
              </w:rPr>
              <w:t>J&amp;P</w:t>
            </w:r>
          </w:p>
        </w:tc>
        <w:tc>
          <w:tcPr>
            <w:tcW w:type="dxa" w:w="3120"/>
            <w:tcMar>
              <w:top w:w="100" w:type="dxa"/>
              <w:bottom w:w="100" w:type="dxa"/>
              <w:left w:w="120" w:type="dxa"/>
              <w:right w:w="120" w:type="dxa"/>
            </w:tcMar>
          </w:tcPr>
          <w:p>
            <w:r>
              <w:rPr>
                <w:sz w:val="19"/>
              </w:rPr>
              <w:t>Securing sensitive student and branch records (ECE, EEE, CSE), enforcing role-based permissions, and restricting unauthorized create, read, update, and delete actions [cite: 2, 6].</w:t>
            </w:r>
          </w:p>
        </w:tc>
      </w:tr>
      <w:tr>
        <w:tc>
          <w:tcPr>
            <w:tcW w:type="dxa" w:w="3120"/>
            <w:tcMar>
              <w:top w:w="100" w:type="dxa"/>
              <w:bottom w:w="100" w:type="dxa"/>
              <w:left w:w="120" w:type="dxa"/>
              <w:right w:w="120" w:type="dxa"/>
            </w:tcMar>
          </w:tcPr>
          <w:p>
            <w:pPr>
              <w:jc w:val="center"/>
            </w:pPr>
            <w:r>
              <w:rPr>
                <w:sz w:val="19"/>
              </w:rPr>
              <w:t>3. Triggers</w:t>
            </w:r>
          </w:p>
        </w:tc>
        <w:tc>
          <w:tcPr>
            <w:tcW w:type="dxa" w:w="3120"/>
            <w:tcMar>
              <w:top w:w="100" w:type="dxa"/>
              <w:bottom w:w="100" w:type="dxa"/>
              <w:left w:w="120" w:type="dxa"/>
              <w:right w:w="120" w:type="dxa"/>
            </w:tcMar>
          </w:tcPr>
          <w:p>
            <w:pPr>
              <w:jc w:val="center"/>
            </w:pPr>
            <w:r>
              <w:rPr>
                <w:sz w:val="19"/>
              </w:rPr>
              <w:t>TR</w:t>
            </w:r>
          </w:p>
        </w:tc>
        <w:tc>
          <w:tcPr>
            <w:tcW w:type="dxa" w:w="3120"/>
            <w:tcMar>
              <w:top w:w="100" w:type="dxa"/>
              <w:bottom w:w="100" w:type="dxa"/>
              <w:left w:w="120" w:type="dxa"/>
              <w:right w:w="120" w:type="dxa"/>
            </w:tcMar>
          </w:tcPr>
          <w:p>
            <w:r>
              <w:rPr>
                <w:sz w:val="19"/>
              </w:rPr>
              <w:t>Security audits, data breaches, unauthorized record tampering incidents, and compliance mandates requiring granular record-level access control [cite: 2].</w:t>
            </w:r>
          </w:p>
        </w:tc>
      </w:tr>
      <w:tr>
        <w:tc>
          <w:tcPr>
            <w:tcW w:type="dxa" w:w="3120"/>
            <w:tcMar>
              <w:top w:w="100" w:type="dxa"/>
              <w:bottom w:w="100" w:type="dxa"/>
              <w:left w:w="120" w:type="dxa"/>
              <w:right w:w="120" w:type="dxa"/>
            </w:tcMar>
          </w:tcPr>
          <w:p>
            <w:pPr>
              <w:jc w:val="center"/>
            </w:pPr>
            <w:r>
              <w:rPr>
                <w:sz w:val="19"/>
              </w:rPr>
              <w:t>4. Emotions: Before / After</w:t>
            </w:r>
          </w:p>
        </w:tc>
        <w:tc>
          <w:tcPr>
            <w:tcW w:type="dxa" w:w="3120"/>
            <w:tcMar>
              <w:top w:w="100" w:type="dxa"/>
              <w:bottom w:w="100" w:type="dxa"/>
              <w:left w:w="120" w:type="dxa"/>
              <w:right w:w="120" w:type="dxa"/>
            </w:tcMar>
          </w:tcPr>
          <w:p>
            <w:pPr>
              <w:jc w:val="center"/>
            </w:pPr>
            <w:r>
              <w:rPr>
                <w:sz w:val="19"/>
              </w:rPr>
              <w:t>EM</w:t>
            </w:r>
          </w:p>
        </w:tc>
        <w:tc>
          <w:tcPr>
            <w:tcW w:type="dxa" w:w="3120"/>
            <w:tcMar>
              <w:top w:w="100" w:type="dxa"/>
              <w:bottom w:w="100" w:type="dxa"/>
              <w:left w:w="120" w:type="dxa"/>
              <w:right w:w="120" w:type="dxa"/>
            </w:tcMar>
          </w:tcPr>
          <w:p>
            <w:r>
              <w:rPr>
                <w:sz w:val="19"/>
              </w:rPr>
              <w:t>Before: Vulnerable, anxious about data leaks, and overwhelmed by complex manual permissions. After: Confident, secure, audit-ready, and in full control of institutional data [cite: 2, 8].</w:t>
            </w:r>
          </w:p>
        </w:tc>
      </w:tr>
      <w:tr>
        <w:tc>
          <w:tcPr>
            <w:tcW w:type="dxa" w:w="3120"/>
            <w:tcMar>
              <w:top w:w="100" w:type="dxa"/>
              <w:bottom w:w="100" w:type="dxa"/>
              <w:left w:w="120" w:type="dxa"/>
              <w:right w:w="120" w:type="dxa"/>
            </w:tcMar>
          </w:tcPr>
          <w:p>
            <w:pPr>
              <w:jc w:val="center"/>
            </w:pPr>
            <w:r>
              <w:rPr>
                <w:sz w:val="19"/>
              </w:rPr>
              <w:t>5. Available Solutions</w:t>
            </w:r>
          </w:p>
        </w:tc>
        <w:tc>
          <w:tcPr>
            <w:tcW w:type="dxa" w:w="3120"/>
            <w:tcMar>
              <w:top w:w="100" w:type="dxa"/>
              <w:bottom w:w="100" w:type="dxa"/>
              <w:left w:w="120" w:type="dxa"/>
              <w:right w:w="120" w:type="dxa"/>
            </w:tcMar>
          </w:tcPr>
          <w:p>
            <w:pPr>
              <w:jc w:val="center"/>
            </w:pPr>
            <w:r>
              <w:rPr>
                <w:sz w:val="19"/>
              </w:rPr>
              <w:t>AS</w:t>
            </w:r>
          </w:p>
        </w:tc>
        <w:tc>
          <w:tcPr>
            <w:tcW w:type="dxa" w:w="3120"/>
            <w:tcMar>
              <w:top w:w="100" w:type="dxa"/>
              <w:bottom w:w="100" w:type="dxa"/>
              <w:left w:w="120" w:type="dxa"/>
              <w:right w:w="120" w:type="dxa"/>
            </w:tcMar>
          </w:tcPr>
          <w:p>
            <w:r>
              <w:rPr>
                <w:sz w:val="19"/>
              </w:rPr>
              <w:t>Basic platform permissions, manual spreadsheet access lists, and static database roles that lack dynamic script-controlled record-level evaluation [cite: 2, 6].</w:t>
            </w:r>
          </w:p>
        </w:tc>
      </w:tr>
      <w:tr>
        <w:tc>
          <w:tcPr>
            <w:tcW w:type="dxa" w:w="3120"/>
            <w:tcMar>
              <w:top w:w="100" w:type="dxa"/>
              <w:bottom w:w="100" w:type="dxa"/>
              <w:left w:w="120" w:type="dxa"/>
              <w:right w:w="120" w:type="dxa"/>
            </w:tcMar>
          </w:tcPr>
          <w:p>
            <w:pPr>
              <w:jc w:val="center"/>
            </w:pPr>
            <w:r>
              <w:rPr>
                <w:sz w:val="19"/>
              </w:rPr>
              <w:t>6. Customer Constraints</w:t>
            </w:r>
          </w:p>
        </w:tc>
        <w:tc>
          <w:tcPr>
            <w:tcW w:type="dxa" w:w="3120"/>
            <w:tcMar>
              <w:top w:w="100" w:type="dxa"/>
              <w:bottom w:w="100" w:type="dxa"/>
              <w:left w:w="120" w:type="dxa"/>
              <w:right w:w="120" w:type="dxa"/>
            </w:tcMar>
          </w:tcPr>
          <w:p>
            <w:pPr>
              <w:jc w:val="center"/>
            </w:pPr>
            <w:r>
              <w:rPr>
                <w:sz w:val="19"/>
              </w:rPr>
              <w:t>CC</w:t>
            </w:r>
          </w:p>
        </w:tc>
        <w:tc>
          <w:tcPr>
            <w:tcW w:type="dxa" w:w="3120"/>
            <w:tcMar>
              <w:top w:w="100" w:type="dxa"/>
              <w:bottom w:w="100" w:type="dxa"/>
              <w:left w:w="120" w:type="dxa"/>
              <w:right w:w="120" w:type="dxa"/>
            </w:tcMar>
          </w:tcPr>
          <w:p>
            <w:r>
              <w:rPr>
                <w:sz w:val="19"/>
              </w:rPr>
              <w:t>Strict institutional privacy policies, limited admin bandwidth for writing complex security rules, and the need for zero downtime during role transitions [cite: 2, 6].</w:t>
            </w:r>
          </w:p>
        </w:tc>
      </w:tr>
      <w:tr>
        <w:tc>
          <w:tcPr>
            <w:tcW w:type="dxa" w:w="3120"/>
            <w:tcMar>
              <w:top w:w="100" w:type="dxa"/>
              <w:bottom w:w="100" w:type="dxa"/>
              <w:left w:w="120" w:type="dxa"/>
              <w:right w:w="120" w:type="dxa"/>
            </w:tcMar>
          </w:tcPr>
          <w:p>
            <w:pPr>
              <w:jc w:val="center"/>
            </w:pPr>
            <w:r>
              <w:rPr>
                <w:sz w:val="19"/>
              </w:rPr>
              <w:t>7. Behaviour</w:t>
            </w:r>
          </w:p>
        </w:tc>
        <w:tc>
          <w:tcPr>
            <w:tcW w:type="dxa" w:w="3120"/>
            <w:tcMar>
              <w:top w:w="100" w:type="dxa"/>
              <w:bottom w:w="100" w:type="dxa"/>
              <w:left w:w="120" w:type="dxa"/>
              <w:right w:w="120" w:type="dxa"/>
            </w:tcMar>
          </w:tcPr>
          <w:p>
            <w:pPr>
              <w:jc w:val="center"/>
            </w:pPr>
            <w:r>
              <w:rPr>
                <w:sz w:val="19"/>
              </w:rPr>
              <w:t>BE</w:t>
            </w:r>
          </w:p>
        </w:tc>
        <w:tc>
          <w:tcPr>
            <w:tcW w:type="dxa" w:w="3120"/>
            <w:tcMar>
              <w:top w:w="100" w:type="dxa"/>
              <w:bottom w:w="100" w:type="dxa"/>
              <w:left w:w="120" w:type="dxa"/>
              <w:right w:w="120" w:type="dxa"/>
            </w:tcMar>
          </w:tcPr>
          <w:p>
            <w:r>
              <w:rPr>
                <w:sz w:val="19"/>
              </w:rPr>
              <w:t>Administrators manually assigning roles (bb1–bb4) and testing record visibility by impersonating users across ECE, EEE, and CSE branches [cite: 2, 6].</w:t>
            </w:r>
          </w:p>
        </w:tc>
      </w:tr>
      <w:tr>
        <w:tc>
          <w:tcPr>
            <w:tcW w:type="dxa" w:w="3120"/>
            <w:tcMar>
              <w:top w:w="100" w:type="dxa"/>
              <w:bottom w:w="100" w:type="dxa"/>
              <w:left w:w="120" w:type="dxa"/>
              <w:right w:w="120" w:type="dxa"/>
            </w:tcMar>
          </w:tcPr>
          <w:p>
            <w:pPr>
              <w:jc w:val="center"/>
            </w:pPr>
            <w:r>
              <w:rPr>
                <w:sz w:val="19"/>
              </w:rPr>
              <w:t>8. Channels of Behaviour</w:t>
            </w:r>
          </w:p>
        </w:tc>
        <w:tc>
          <w:tcPr>
            <w:tcW w:type="dxa" w:w="3120"/>
            <w:tcMar>
              <w:top w:w="100" w:type="dxa"/>
              <w:bottom w:w="100" w:type="dxa"/>
              <w:left w:w="120" w:type="dxa"/>
              <w:right w:w="120" w:type="dxa"/>
            </w:tcMar>
          </w:tcPr>
          <w:p>
            <w:pPr>
              <w:jc w:val="center"/>
            </w:pPr>
            <w:r>
              <w:rPr>
                <w:sz w:val="19"/>
              </w:rPr>
              <w:t>CH</w:t>
            </w:r>
          </w:p>
        </w:tc>
        <w:tc>
          <w:tcPr>
            <w:tcW w:type="dxa" w:w="3120"/>
            <w:tcMar>
              <w:top w:w="100" w:type="dxa"/>
              <w:bottom w:w="100" w:type="dxa"/>
              <w:left w:w="120" w:type="dxa"/>
              <w:right w:w="120" w:type="dxa"/>
            </w:tcMar>
          </w:tcPr>
          <w:p>
            <w:r>
              <w:rPr>
                <w:sz w:val="19"/>
              </w:rPr>
              <w:t>Online: ServiceNow instance navigation, Application Navigator, System Security ACL modules, and Service Portal interfaces [cite: 2, 6]. Offline: Lab documentation, administrative briefings, and IT training sessions.</w:t>
            </w:r>
          </w:p>
        </w:tc>
      </w:tr>
      <w:tr>
        <w:tc>
          <w:tcPr>
            <w:tcW w:type="dxa" w:w="3120"/>
            <w:tcMar>
              <w:top w:w="100" w:type="dxa"/>
              <w:bottom w:w="100" w:type="dxa"/>
              <w:left w:w="120" w:type="dxa"/>
              <w:right w:w="120" w:type="dxa"/>
            </w:tcMar>
          </w:tcPr>
          <w:p>
            <w:pPr>
              <w:jc w:val="center"/>
            </w:pPr>
            <w:r>
              <w:rPr>
                <w:sz w:val="19"/>
              </w:rPr>
              <w:t>9. Problem Root Cause</w:t>
            </w:r>
          </w:p>
        </w:tc>
        <w:tc>
          <w:tcPr>
            <w:tcW w:type="dxa" w:w="3120"/>
            <w:tcMar>
              <w:top w:w="100" w:type="dxa"/>
              <w:bottom w:w="100" w:type="dxa"/>
              <w:left w:w="120" w:type="dxa"/>
              <w:right w:w="120" w:type="dxa"/>
            </w:tcMar>
          </w:tcPr>
          <w:p>
            <w:pPr>
              <w:jc w:val="center"/>
            </w:pPr>
            <w:r>
              <w:rPr>
                <w:sz w:val="19"/>
              </w:rPr>
              <w:t>RC</w:t>
            </w:r>
          </w:p>
        </w:tc>
        <w:tc>
          <w:tcPr>
            <w:tcW w:type="dxa" w:w="3120"/>
            <w:tcMar>
              <w:top w:w="100" w:type="dxa"/>
              <w:bottom w:w="100" w:type="dxa"/>
              <w:left w:w="120" w:type="dxa"/>
              <w:right w:w="120" w:type="dxa"/>
            </w:tcMar>
          </w:tcPr>
          <w:p>
            <w:r>
              <w:rPr>
                <w:sz w:val="19"/>
              </w:rPr>
              <w:t>Standard platform access controls operate at broad table or module levels without combining user roles with record field values (e.g., Branch == EEE) in real-time script evaluations [cite: 2, 6].</w:t>
            </w:r>
          </w:p>
        </w:tc>
      </w:tr>
      <w:tr>
        <w:tc>
          <w:tcPr>
            <w:tcW w:type="dxa" w:w="3120"/>
            <w:tcMar>
              <w:top w:w="100" w:type="dxa"/>
              <w:bottom w:w="100" w:type="dxa"/>
              <w:left w:w="120" w:type="dxa"/>
              <w:right w:w="120" w:type="dxa"/>
            </w:tcMar>
          </w:tcPr>
          <w:p>
            <w:pPr>
              <w:jc w:val="center"/>
            </w:pPr>
            <w:r>
              <w:rPr>
                <w:sz w:val="19"/>
              </w:rPr>
              <w:t>10. Your Solution</w:t>
            </w:r>
          </w:p>
        </w:tc>
        <w:tc>
          <w:tcPr>
            <w:tcW w:type="dxa" w:w="3120"/>
            <w:tcMar>
              <w:top w:w="100" w:type="dxa"/>
              <w:bottom w:w="100" w:type="dxa"/>
              <w:left w:w="120" w:type="dxa"/>
              <w:right w:w="120" w:type="dxa"/>
            </w:tcMar>
          </w:tcPr>
          <w:p>
            <w:pPr>
              <w:jc w:val="center"/>
            </w:pPr>
            <w:r>
              <w:rPr>
                <w:sz w:val="19"/>
              </w:rPr>
              <w:t>SL</w:t>
            </w:r>
          </w:p>
        </w:tc>
        <w:tc>
          <w:tcPr>
            <w:tcW w:type="dxa" w:w="3120"/>
            <w:tcMar>
              <w:top w:w="100" w:type="dxa"/>
              <w:bottom w:w="100" w:type="dxa"/>
              <w:left w:w="120" w:type="dxa"/>
              <w:right w:w="120" w:type="dxa"/>
            </w:tcMar>
          </w:tcPr>
          <w:p>
            <w:r>
              <w:rPr>
                <w:sz w:val="19"/>
              </w:rPr>
              <w:t>A ServiceNow-based Institution Management Portal utilizing custom tables (u_institution_details), role provisioning (bb1–bb4), and script-controlled ACLs to enforce precise CRUD security [cite: 2, 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