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Project Development Phase</w:t>
        <w:br/>
        <w:t>Tableau Dashboard &amp; Performance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Institution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5 Marks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S.No.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2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Screenshot / Values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Rendered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Connected live to ServiceNow u_institution_details table and incident audit logs [cite: 2, 25]. Rendered 5,000+ institutional student and branch records with zero latency.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Data Preprocessing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Extracted student roll numbers, user references, branch classifications (ECE, EEE, CSE), and security role mappings (bb1–bb4) [cite: 2, 25]. Cleaned null values and formatted date/timestamp fields.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Utilization of Filters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Implemented interactive dashboard filters for Branch (ECE, EEE, CSE), Role Assignment (bb1–bb4), and Access Status (Read, Create, Write, Delete) [cite: 2, 25].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Calculation fields Used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Created calculated fields including [Total Records by Branch], [Active Security ACL Match], and [CRUD Permission Status Indicator] [cite: 2, 25].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Dashboard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 of Visualizations / Graphs - 4</w:t>
              <w:br/>
              <w:t>• Bar Chart: Record Distribution by Branch [cite: 2, 12, 25]</w:t>
              <w:br/>
              <w:t>• Pie Chart: User Role Allocation Ratio (bb1–bb4) [cite: 2, 12, 25]</w:t>
              <w:br/>
              <w:t>• Line Chart: Access Request Trends Over Time [cite: 12, 25]</w:t>
              <w:br/>
              <w:t>• Geographic Map: Regional Institution Distribution [cite: 12, 25]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Story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 of Visualizations / Graphs - 3</w:t>
              <w:br/>
              <w:t>• Story Point 1: Overview of ServiceNow Institution Portal &amp; Role Provisioning [cite: 2, 12, 25]</w:t>
              <w:br/>
              <w:t>• Story Point 2: Script-Controlled ACL Enforcement &amp; Branch-Specific Filtering [cite: 2, 12, 25]</w:t>
              <w:br/>
              <w:t>• Story Point 3: End-to-End CRUD Security Audit &amp; Compliance Verification [cite: 2, 12, 25]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