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Adrián Aránegas Molina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Visibilidad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Principio: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El usuario debe poder ver fácilmente qué acciones son posibles en la interfaz.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Ejemplo: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 Email el botón de enviar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Consistencia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Principio: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Los elementos de la interfaz deben mantener un mismo estilo y comportamiento en todas las pantallas.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Ejemplo: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Los botones de confirmación siempre son verdes y los de cancelar siempre rojos en toda la aplicación.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Restricciones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Principio: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Limitar acciones para evitar errores.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Ejemplo: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En un formulario, si se debe ingresar un número de teléfono, el campo solo acepta dígitos.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Flexibilidad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Principio: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El sistema debe permitir varias formas de hacer lo mismo.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Ejemplo: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En el visual Studio code puedes copiar los códigos con click derecho y copiar o con control + c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Eficiencia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Principio: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Los usuarios frecuentes deben poder realizar tareas rápidamente.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Ejemplo: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Un buscador con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autocompletado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que ahorra tiempo al escribir.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aramol2909@g.educaand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