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color w:val="0000ff"/>
          <w:sz w:val="34"/>
          <w:szCs w:val="34"/>
        </w:rPr>
      </w:pPr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Leyes de Gestalt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ff00ff"/>
          <w:sz w:val="26"/>
          <w:szCs w:val="26"/>
        </w:rPr>
      </w:pPr>
      <w:r w:rsidDel="00000000" w:rsidR="00000000" w:rsidRPr="00000000">
        <w:rPr>
          <w:b w:val="1"/>
          <w:color w:val="ff00ff"/>
          <w:sz w:val="26"/>
          <w:szCs w:val="26"/>
          <w:rtl w:val="0"/>
        </w:rPr>
        <w:t xml:space="preserve">Ley  de Proximidad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stablece que los elementos que están cerca unos de otros son percibidos como un grupo o conjunto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eef0ff"/>
          <w:sz w:val="24"/>
          <w:szCs w:val="24"/>
          <w:shd w:fill="1f1f1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eef0ff"/>
          <w:sz w:val="24"/>
          <w:szCs w:val="24"/>
          <w:shd w:fill="1f1f1f" w:val="clear"/>
        </w:rPr>
      </w:pPr>
      <w:r w:rsidDel="00000000" w:rsidR="00000000" w:rsidRPr="00000000">
        <w:rPr>
          <w:rFonts w:ascii="Roboto" w:cs="Roboto" w:eastAsia="Roboto" w:hAnsi="Roboto"/>
          <w:color w:val="eef0ff"/>
          <w:sz w:val="24"/>
          <w:szCs w:val="24"/>
          <w:shd w:fill="1f1f1f" w:val="clear"/>
        </w:rPr>
        <w:drawing>
          <wp:inline distB="114300" distT="114300" distL="114300" distR="114300">
            <wp:extent cx="3048000" cy="19335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eef0ff"/>
          <w:sz w:val="24"/>
          <w:szCs w:val="24"/>
          <w:shd w:fill="1f1f1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color w:val="ff00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ff00ff"/>
          <w:sz w:val="26"/>
          <w:szCs w:val="26"/>
          <w:rtl w:val="0"/>
        </w:rPr>
        <w:t xml:space="preserve">Ley de Contraste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20202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02020"/>
          <w:sz w:val="26"/>
          <w:szCs w:val="26"/>
          <w:rtl w:val="0"/>
        </w:rPr>
        <w:t xml:space="preserve">La ley de contraste señala que percibimos los elementos como diferentes entre sí debido a sus características visuales, como el tamaño, color o forma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20202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20202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02020"/>
          <w:sz w:val="26"/>
          <w:szCs w:val="26"/>
        </w:rPr>
        <w:drawing>
          <wp:inline distB="114300" distT="114300" distL="114300" distR="114300">
            <wp:extent cx="3719513" cy="241583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415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20202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20202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20202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ff00ff"/>
          <w:sz w:val="26"/>
          <w:szCs w:val="26"/>
          <w:shd w:fill="1f1f1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  <w:color w:val="ff00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ff00ff"/>
          <w:sz w:val="26"/>
          <w:szCs w:val="26"/>
          <w:rtl w:val="0"/>
        </w:rPr>
        <w:t xml:space="preserve">Ley de Birkhoff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establece que tendemos a percibir las formas como más pregnantes (claras, organizadas y estables) cuanto más ejes posean y, por lo tanto, cuanto más simples, regulares y simétricas sean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857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00" w:lineRule="auto"/>
        <w:rPr>
          <w:b w:val="1"/>
          <w:color w:val="ff00ff"/>
          <w:sz w:val="26"/>
          <w:szCs w:val="26"/>
        </w:rPr>
      </w:pPr>
      <w:bookmarkStart w:colFirst="0" w:colLast="0" w:name="_3q1ga6obbrr" w:id="0"/>
      <w:bookmarkEnd w:id="0"/>
      <w:r w:rsidDel="00000000" w:rsidR="00000000" w:rsidRPr="00000000">
        <w:rPr>
          <w:b w:val="1"/>
          <w:color w:val="ff00ff"/>
          <w:sz w:val="26"/>
          <w:szCs w:val="26"/>
          <w:rtl w:val="0"/>
        </w:rPr>
        <w:t xml:space="preserve">Ley de Continuidad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32148"/>
          <w:sz w:val="24"/>
          <w:szCs w:val="24"/>
          <w:highlight w:val="white"/>
        </w:rPr>
      </w:pPr>
      <w:r w:rsidDel="00000000" w:rsidR="00000000" w:rsidRPr="00000000">
        <w:rPr>
          <w:color w:val="232148"/>
          <w:sz w:val="24"/>
          <w:szCs w:val="24"/>
          <w:highlight w:val="white"/>
          <w:rtl w:val="0"/>
        </w:rPr>
        <w:t xml:space="preserve">El ojo va a seguir siempre el camino visual más coherente y sencillo. Es atraído por la continuidad de una línea o una curva</w:t>
      </w:r>
    </w:p>
    <w:p w:rsidR="00000000" w:rsidDel="00000000" w:rsidP="00000000" w:rsidRDefault="00000000" w:rsidRPr="00000000" w14:paraId="0000001C">
      <w:pPr>
        <w:rPr>
          <w:color w:val="232148"/>
          <w:sz w:val="24"/>
          <w:szCs w:val="24"/>
          <w:highlight w:val="white"/>
        </w:rPr>
      </w:pPr>
      <w:r w:rsidDel="00000000" w:rsidR="00000000" w:rsidRPr="00000000">
        <w:rPr>
          <w:color w:val="232148"/>
          <w:sz w:val="24"/>
          <w:szCs w:val="24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00" w:lineRule="auto"/>
        <w:rPr>
          <w:b w:val="1"/>
          <w:color w:val="ff00ff"/>
          <w:sz w:val="26"/>
          <w:szCs w:val="26"/>
          <w:highlight w:val="white"/>
        </w:rPr>
      </w:pPr>
      <w:bookmarkStart w:colFirst="0" w:colLast="0" w:name="_ghlqwbetxd8v" w:id="1"/>
      <w:bookmarkEnd w:id="1"/>
      <w:r w:rsidDel="00000000" w:rsidR="00000000" w:rsidRPr="00000000">
        <w:rPr>
          <w:b w:val="1"/>
          <w:color w:val="ff00ff"/>
          <w:sz w:val="26"/>
          <w:szCs w:val="26"/>
          <w:highlight w:val="white"/>
          <w:rtl w:val="0"/>
        </w:rPr>
        <w:t xml:space="preserve">Ley de cierre</w:t>
      </w:r>
    </w:p>
    <w:p w:rsidR="00000000" w:rsidDel="00000000" w:rsidP="00000000" w:rsidRDefault="00000000" w:rsidRPr="00000000" w14:paraId="0000001E">
      <w:pPr>
        <w:rPr>
          <w:color w:val="232148"/>
          <w:sz w:val="24"/>
          <w:szCs w:val="24"/>
          <w:highlight w:val="white"/>
        </w:rPr>
      </w:pPr>
      <w:r w:rsidDel="00000000" w:rsidR="00000000" w:rsidRPr="00000000">
        <w:rPr>
          <w:color w:val="232148"/>
          <w:sz w:val="24"/>
          <w:szCs w:val="24"/>
          <w:highlight w:val="white"/>
          <w:rtl w:val="0"/>
        </w:rPr>
        <w:t xml:space="preserve">Cuando percibimos una figura que no está cerrada, nuestro cerebro trabajará en completar la información que falta para trasmitir una forma completa.</w:t>
      </w:r>
    </w:p>
    <w:p w:rsidR="00000000" w:rsidDel="00000000" w:rsidP="00000000" w:rsidRDefault="00000000" w:rsidRPr="00000000" w14:paraId="0000001F">
      <w:pPr>
        <w:rPr>
          <w:color w:val="232148"/>
          <w:sz w:val="24"/>
          <w:szCs w:val="24"/>
          <w:highlight w:val="white"/>
        </w:rPr>
      </w:pPr>
      <w:r w:rsidDel="00000000" w:rsidR="00000000" w:rsidRPr="00000000">
        <w:rPr>
          <w:color w:val="232148"/>
          <w:sz w:val="24"/>
          <w:szCs w:val="24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23214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ff00ff"/>
          <w:sz w:val="26"/>
          <w:szCs w:val="26"/>
          <w:highlight w:val="white"/>
        </w:rPr>
      </w:pPr>
      <w:r w:rsidDel="00000000" w:rsidR="00000000" w:rsidRPr="00000000">
        <w:rPr>
          <w:b w:val="1"/>
          <w:color w:val="ff00ff"/>
          <w:sz w:val="26"/>
          <w:szCs w:val="26"/>
          <w:highlight w:val="white"/>
          <w:rtl w:val="0"/>
        </w:rPr>
        <w:t xml:space="preserve">Ley de Simetría</w:t>
      </w:r>
    </w:p>
    <w:p w:rsidR="00000000" w:rsidDel="00000000" w:rsidP="00000000" w:rsidRDefault="00000000" w:rsidRPr="00000000" w14:paraId="00000022">
      <w:pPr>
        <w:rPr>
          <w:color w:val="232148"/>
          <w:sz w:val="24"/>
          <w:szCs w:val="24"/>
          <w:highlight w:val="white"/>
        </w:rPr>
      </w:pPr>
      <w:r w:rsidDel="00000000" w:rsidR="00000000" w:rsidRPr="00000000">
        <w:rPr>
          <w:color w:val="232148"/>
          <w:sz w:val="24"/>
          <w:szCs w:val="24"/>
          <w:highlight w:val="white"/>
          <w:rtl w:val="0"/>
        </w:rPr>
        <w:t xml:space="preserve">Los objetos que cuentan con simetría y orden son percibidos como parte del mismo grupo. Un diseño desordenado y desequilibrado hará que el espectador pierda el tiempo tratando de analizarlo, en lugar de centrarse en el mensaje que la composición quiere trasmitir</w:t>
      </w:r>
    </w:p>
    <w:p w:rsidR="00000000" w:rsidDel="00000000" w:rsidP="00000000" w:rsidRDefault="00000000" w:rsidRPr="00000000" w14:paraId="00000023">
      <w:pPr>
        <w:rPr>
          <w:color w:val="232148"/>
          <w:sz w:val="24"/>
          <w:szCs w:val="24"/>
          <w:highlight w:val="white"/>
        </w:rPr>
      </w:pPr>
      <w:r w:rsidDel="00000000" w:rsidR="00000000" w:rsidRPr="00000000">
        <w:rPr>
          <w:color w:val="232148"/>
          <w:sz w:val="24"/>
          <w:szCs w:val="24"/>
          <w:highlight w:val="white"/>
        </w:rPr>
        <w:drawing>
          <wp:inline distB="114300" distT="114300" distL="114300" distR="114300">
            <wp:extent cx="5731200" cy="2286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ff00f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ff00ff"/>
          <w:sz w:val="26"/>
          <w:szCs w:val="26"/>
          <w:highlight w:val="white"/>
        </w:rPr>
      </w:pPr>
      <w:r w:rsidDel="00000000" w:rsidR="00000000" w:rsidRPr="00000000">
        <w:rPr>
          <w:b w:val="1"/>
          <w:color w:val="ff00ff"/>
          <w:sz w:val="26"/>
          <w:szCs w:val="26"/>
          <w:highlight w:val="white"/>
          <w:rtl w:val="0"/>
        </w:rPr>
        <w:t xml:space="preserve">Ley de Jerarquización</w:t>
      </w:r>
    </w:p>
    <w:p w:rsidR="00000000" w:rsidDel="00000000" w:rsidP="00000000" w:rsidRDefault="00000000" w:rsidRPr="00000000" w14:paraId="00000026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Una forma es mejor percibida cuanto más principal y menos accesoria la mente la intérprete</w:t>
      </w:r>
      <w:hyperlink r:id="rId12">
        <w:r w:rsidDel="00000000" w:rsidR="00000000" w:rsidRPr="00000000">
          <w:rPr>
            <w:color w:val="3366cc"/>
            <w:sz w:val="2"/>
            <w:szCs w:val="2"/>
            <w:highlight w:val="white"/>
            <w:vertAlign w:val="superscript"/>
            <w:rtl w:val="0"/>
          </w:rPr>
          <w:t xml:space="preserve">[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32148"/>
          <w:sz w:val="24"/>
          <w:szCs w:val="24"/>
          <w:highlight w:val="white"/>
        </w:rPr>
      </w:pPr>
      <w:r w:rsidDel="00000000" w:rsidR="00000000" w:rsidRPr="00000000">
        <w:rPr>
          <w:color w:val="232148"/>
          <w:sz w:val="24"/>
          <w:szCs w:val="24"/>
          <w:highlight w:val="white"/>
        </w:rPr>
        <w:drawing>
          <wp:inline distB="114300" distT="114300" distL="114300" distR="114300">
            <wp:extent cx="5731200" cy="2832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ff00ff"/>
          <w:sz w:val="26"/>
          <w:szCs w:val="26"/>
          <w:highlight w:val="white"/>
        </w:rPr>
      </w:pPr>
      <w:r w:rsidDel="00000000" w:rsidR="00000000" w:rsidRPr="00000000">
        <w:rPr>
          <w:b w:val="1"/>
          <w:color w:val="ff00ff"/>
          <w:sz w:val="26"/>
          <w:szCs w:val="26"/>
          <w:highlight w:val="white"/>
          <w:rtl w:val="0"/>
        </w:rPr>
        <w:t xml:space="preserve">Ley de la Semejanza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Los elementos aislados, pero con cierta semejanza, tienden a ser considerados como grupos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ff00ff"/>
          <w:sz w:val="26"/>
          <w:szCs w:val="26"/>
          <w:highlight w:val="white"/>
        </w:rPr>
      </w:pPr>
      <w:r w:rsidDel="00000000" w:rsidR="00000000" w:rsidRPr="00000000">
        <w:rPr>
          <w:b w:val="1"/>
          <w:color w:val="ff00ff"/>
          <w:sz w:val="26"/>
          <w:szCs w:val="26"/>
          <w:highlight w:val="white"/>
          <w:rtl w:val="0"/>
        </w:rPr>
        <w:t xml:space="preserve">Ley del Movimiento Común</w:t>
      </w:r>
    </w:p>
    <w:p w:rsidR="00000000" w:rsidDel="00000000" w:rsidP="00000000" w:rsidRDefault="00000000" w:rsidRPr="00000000" w14:paraId="0000002E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Los elementos aislados, pero con movimiento común, tienden a ser considerados como grupos.</w:t>
      </w:r>
    </w:p>
    <w:p w:rsidR="00000000" w:rsidDel="00000000" w:rsidP="00000000" w:rsidRDefault="00000000" w:rsidRPr="00000000" w14:paraId="0000002F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5731200" cy="2971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ff00ff"/>
          <w:sz w:val="26"/>
          <w:szCs w:val="26"/>
          <w:highlight w:val="white"/>
        </w:rPr>
      </w:pPr>
      <w:r w:rsidDel="00000000" w:rsidR="00000000" w:rsidRPr="00000000">
        <w:rPr>
          <w:b w:val="1"/>
          <w:color w:val="ff00ff"/>
          <w:sz w:val="26"/>
          <w:szCs w:val="26"/>
          <w:highlight w:val="white"/>
          <w:rtl w:val="0"/>
        </w:rPr>
        <w:t xml:space="preserve">Ley de Invariancia Topológica</w:t>
      </w:r>
    </w:p>
    <w:p w:rsidR="00000000" w:rsidDel="00000000" w:rsidP="00000000" w:rsidRDefault="00000000" w:rsidRPr="00000000" w14:paraId="00000032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Una buena forma resiste a las deformaciones a las que sea sometida</w:t>
      </w:r>
    </w:p>
    <w:p w:rsidR="00000000" w:rsidDel="00000000" w:rsidP="00000000" w:rsidRDefault="00000000" w:rsidRPr="00000000" w14:paraId="00000033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5731200" cy="2425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2"/>
          <w:sz w:val="24"/>
          <w:szCs w:val="24"/>
          <w:highlight w:val="white"/>
          <w:rtl w:val="0"/>
        </w:rPr>
        <w:t xml:space="preserve">Ley de Enmascaramiento</w:t>
      </w:r>
    </w:p>
    <w:p w:rsidR="00000000" w:rsidDel="00000000" w:rsidP="00000000" w:rsidRDefault="00000000" w:rsidRPr="00000000" w14:paraId="00000042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Una buena forma resiste a las perturbaciones a las que sea sometida</w:t>
      </w:r>
      <w:r w:rsidDel="00000000" w:rsidR="00000000" w:rsidRPr="00000000">
        <w:rPr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4267200" cy="5295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hyperlink" Target="https://es.wikipedia.org/wiki/Leyes_de_la_Gestalt#cite_note-anasaci-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