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F7C72" w14:textId="00A185C9" w:rsidR="00E446C3" w:rsidRDefault="00254C22">
      <w:pPr>
        <w:rPr>
          <w:b/>
          <w:bCs/>
        </w:rPr>
      </w:pPr>
      <w:r w:rsidRPr="00254C22">
        <w:rPr>
          <w:b/>
          <w:bCs/>
        </w:rPr>
        <w:t>Multimorbidity, Sleep Disturbance, and Cognitive Decline in Later Life: A Longitudinal Causal Mediation Analysis Using NHATS</w:t>
      </w:r>
    </w:p>
    <w:p w14:paraId="712C820F" w14:textId="77777777" w:rsidR="002E11C7" w:rsidRDefault="002E11C7">
      <w:pPr>
        <w:rPr>
          <w:b/>
          <w:bCs/>
        </w:rPr>
      </w:pPr>
    </w:p>
    <w:p w14:paraId="69DEA2DD" w14:textId="77777777" w:rsidR="002E11C7" w:rsidRDefault="002E11C7">
      <w:pPr>
        <w:rPr>
          <w:b/>
          <w:bCs/>
        </w:rPr>
      </w:pPr>
    </w:p>
    <w:p w14:paraId="2AA2744A" w14:textId="77777777" w:rsidR="002E11C7" w:rsidRDefault="002E11C7">
      <w:pPr>
        <w:rPr>
          <w:b/>
          <w:bCs/>
        </w:rPr>
      </w:pPr>
    </w:p>
    <w:p w14:paraId="710E6407" w14:textId="47A3411E" w:rsidR="002E11C7" w:rsidRDefault="002E11C7">
      <w:pPr>
        <w:rPr>
          <w:b/>
          <w:bCs/>
        </w:rPr>
      </w:pPr>
      <w:r w:rsidRPr="002E11C7">
        <w:rPr>
          <w:b/>
          <w:bCs/>
        </w:rPr>
        <w:t>Although multimorbidity and sleep disturbance have each been independently associated with cognitive decline, few nationally representative longitudinal studies have evaluated sleep disturbance as a potentially modifiable mediator of the multimorbidity–cognition pathway among older adults. This study is innovative because it uses repeated NHATS data to establish temporal ordering, applies survey-weighted causal mediation methods, and explicitly addresses baseline cognition, attrition, and mortality-related selection. By identifying whether sleep disturbance explains part of the association between multimorbidity and cognitive decline, this work may reveal a modifiable target for interventions to preserve cognitive health in older adults with multiple chronic conditions.</w:t>
      </w:r>
    </w:p>
    <w:p w14:paraId="65173218" w14:textId="77777777" w:rsidR="00254C22" w:rsidRDefault="00254C22"/>
    <w:sectPr w:rsidR="0025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6C3"/>
    <w:rsid w:val="00254C22"/>
    <w:rsid w:val="002E11C7"/>
    <w:rsid w:val="003B08F9"/>
    <w:rsid w:val="00C0348B"/>
    <w:rsid w:val="00E4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8467"/>
  <w15:chartTrackingRefBased/>
  <w15:docId w15:val="{5A91D018-0825-45DB-94D3-3B46A5C5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6C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6C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6C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446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446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4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Adhikari (bdhikari)</dc:creator>
  <cp:keywords/>
  <dc:description/>
  <cp:lastModifiedBy>Bikram Adhikari (bdhikari)</cp:lastModifiedBy>
  <cp:revision>3</cp:revision>
  <dcterms:created xsi:type="dcterms:W3CDTF">2026-06-12T02:58:00Z</dcterms:created>
  <dcterms:modified xsi:type="dcterms:W3CDTF">2026-06-12T13:23:00Z</dcterms:modified>
</cp:coreProperties>
</file>