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393E0" w14:textId="21816B4C" w:rsidR="009D0370" w:rsidRPr="000001ED" w:rsidRDefault="0014465F" w:rsidP="000001E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001ED">
        <w:rPr>
          <w:rFonts w:ascii="Times New Roman" w:hAnsi="Times New Roman" w:cs="Times New Roman"/>
          <w:b/>
          <w:bCs/>
        </w:rPr>
        <w:t xml:space="preserve">Factors associated with co-occurrence of stunting, wasting and anemia </w:t>
      </w:r>
      <w:r w:rsidR="004955C2" w:rsidRPr="000001ED">
        <w:rPr>
          <w:rFonts w:ascii="Times New Roman" w:hAnsi="Times New Roman" w:cs="Times New Roman"/>
          <w:b/>
          <w:bCs/>
        </w:rPr>
        <w:t xml:space="preserve">among 6-59 months children in Nepal: Secondary analysis of Nepal Demographic and Health Survey </w:t>
      </w:r>
      <w:r w:rsidR="000213CB" w:rsidRPr="000001ED">
        <w:rPr>
          <w:rFonts w:ascii="Times New Roman" w:hAnsi="Times New Roman" w:cs="Times New Roman"/>
          <w:b/>
          <w:bCs/>
        </w:rPr>
        <w:t>2011-2022</w:t>
      </w:r>
    </w:p>
    <w:p w14:paraId="580CFE24" w14:textId="77777777" w:rsidR="0010748A" w:rsidRDefault="0010748A" w:rsidP="000001ED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85D3E91" w14:textId="14929FE6" w:rsidR="000213CB" w:rsidRPr="000001ED" w:rsidRDefault="000213CB" w:rsidP="000001ED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001ED">
        <w:rPr>
          <w:rFonts w:ascii="Times New Roman" w:hAnsi="Times New Roman" w:cs="Times New Roman"/>
          <w:b/>
          <w:bCs/>
          <w:sz w:val="22"/>
          <w:szCs w:val="22"/>
        </w:rPr>
        <w:t>Background</w:t>
      </w:r>
      <w:r w:rsidR="00371D97" w:rsidRPr="000001ED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80A2B1E" w14:textId="77777777" w:rsidR="000213CB" w:rsidRPr="000001ED" w:rsidRDefault="000213CB" w:rsidP="000001E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C7CE599" w14:textId="77777777" w:rsidR="000213CB" w:rsidRPr="000001ED" w:rsidRDefault="000213CB" w:rsidP="000001E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28B12A4" w14:textId="08CF60FF" w:rsidR="000213CB" w:rsidRPr="000001ED" w:rsidRDefault="000213CB" w:rsidP="000001ED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001ED">
        <w:rPr>
          <w:rFonts w:ascii="Times New Roman" w:hAnsi="Times New Roman" w:cs="Times New Roman"/>
          <w:b/>
          <w:bCs/>
          <w:sz w:val="22"/>
          <w:szCs w:val="22"/>
        </w:rPr>
        <w:t>Study Aim:</w:t>
      </w:r>
    </w:p>
    <w:p w14:paraId="2F15B6AF" w14:textId="77777777" w:rsidR="000213CB" w:rsidRPr="000001ED" w:rsidRDefault="000213CB" w:rsidP="000001E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8636EE6" w14:textId="77777777" w:rsidR="00D22E1C" w:rsidRPr="000001ED" w:rsidRDefault="00D22E1C" w:rsidP="000001E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7877B13" w14:textId="77777777" w:rsidR="00D22E1C" w:rsidRPr="000001ED" w:rsidRDefault="00D22E1C" w:rsidP="000001E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CC175BF" w14:textId="49A26EF5" w:rsidR="000213CB" w:rsidRPr="000001ED" w:rsidRDefault="000213CB" w:rsidP="000001ED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001ED">
        <w:rPr>
          <w:rFonts w:ascii="Times New Roman" w:hAnsi="Times New Roman" w:cs="Times New Roman"/>
          <w:b/>
          <w:bCs/>
          <w:sz w:val="22"/>
          <w:szCs w:val="22"/>
        </w:rPr>
        <w:t>Methods:</w:t>
      </w:r>
    </w:p>
    <w:p w14:paraId="08FD1290" w14:textId="1CC20825" w:rsidR="00D22E1C" w:rsidRPr="000001ED" w:rsidRDefault="000001ED" w:rsidP="000001ED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0001ED">
        <w:rPr>
          <w:rFonts w:ascii="Times New Roman" w:hAnsi="Times New Roman" w:cs="Times New Roman"/>
          <w:i/>
          <w:iCs/>
          <w:sz w:val="22"/>
          <w:szCs w:val="22"/>
        </w:rPr>
        <w:t>Data source</w:t>
      </w:r>
      <w:r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5303885D" w14:textId="184E77A4" w:rsidR="009358FF" w:rsidRPr="000001ED" w:rsidRDefault="009358FF" w:rsidP="000001E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001ED">
        <w:rPr>
          <w:rFonts w:ascii="Times New Roman" w:hAnsi="Times New Roman" w:cs="Times New Roman"/>
          <w:sz w:val="22"/>
          <w:szCs w:val="22"/>
        </w:rPr>
        <w:t>We analyzed Nepal Health Demographic Survey</w:t>
      </w:r>
      <w:r w:rsidR="000001ED" w:rsidRPr="000001ED">
        <w:rPr>
          <w:rFonts w:ascii="Times New Roman" w:hAnsi="Times New Roman" w:cs="Times New Roman"/>
          <w:sz w:val="22"/>
          <w:szCs w:val="22"/>
        </w:rPr>
        <w:t xml:space="preserve"> (NDHS)</w:t>
      </w:r>
      <w:r w:rsidRPr="000001ED">
        <w:rPr>
          <w:rFonts w:ascii="Times New Roman" w:hAnsi="Times New Roman" w:cs="Times New Roman"/>
          <w:sz w:val="22"/>
          <w:szCs w:val="22"/>
        </w:rPr>
        <w:t xml:space="preserve">, </w:t>
      </w:r>
      <w:r w:rsidR="000001ED" w:rsidRPr="000001ED">
        <w:rPr>
          <w:rFonts w:ascii="Times New Roman" w:hAnsi="Times New Roman" w:cs="Times New Roman"/>
          <w:sz w:val="22"/>
          <w:szCs w:val="22"/>
        </w:rPr>
        <w:t xml:space="preserve">2011, 2016 and </w:t>
      </w:r>
      <w:r w:rsidRPr="000001ED">
        <w:rPr>
          <w:rFonts w:ascii="Times New Roman" w:hAnsi="Times New Roman" w:cs="Times New Roman"/>
          <w:sz w:val="22"/>
          <w:szCs w:val="22"/>
        </w:rPr>
        <w:t>2022 dataset</w:t>
      </w:r>
      <w:r w:rsidR="000001ED" w:rsidRPr="000001ED">
        <w:rPr>
          <w:rFonts w:ascii="Times New Roman" w:hAnsi="Times New Roman" w:cs="Times New Roman"/>
          <w:sz w:val="22"/>
          <w:szCs w:val="22"/>
        </w:rPr>
        <w:t>s</w:t>
      </w:r>
      <w:r w:rsidRPr="000001ED">
        <w:rPr>
          <w:rFonts w:ascii="Times New Roman" w:hAnsi="Times New Roman" w:cs="Times New Roman"/>
          <w:sz w:val="22"/>
          <w:szCs w:val="22"/>
        </w:rPr>
        <w:t xml:space="preserve"> in this study. </w:t>
      </w:r>
      <w:r w:rsidR="000001ED" w:rsidRPr="000001ED">
        <w:rPr>
          <w:rFonts w:ascii="Times New Roman" w:hAnsi="Times New Roman" w:cs="Times New Roman"/>
          <w:sz w:val="22"/>
          <w:szCs w:val="22"/>
        </w:rPr>
        <w:t>NDHS is</w:t>
      </w:r>
      <w:r w:rsidRPr="000001ED">
        <w:rPr>
          <w:rFonts w:ascii="Times New Roman" w:hAnsi="Times New Roman" w:cs="Times New Roman"/>
          <w:sz w:val="22"/>
          <w:szCs w:val="22"/>
        </w:rPr>
        <w:t xml:space="preserve"> the nationally representative survey implemented by New ERA under the aegis of the Ministry of Health and Population (</w:t>
      </w:r>
      <w:proofErr w:type="spellStart"/>
      <w:r w:rsidRPr="000001ED">
        <w:rPr>
          <w:rFonts w:ascii="Times New Roman" w:hAnsi="Times New Roman" w:cs="Times New Roman"/>
          <w:sz w:val="22"/>
          <w:szCs w:val="22"/>
        </w:rPr>
        <w:t>MoHP</w:t>
      </w:r>
      <w:proofErr w:type="spellEnd"/>
      <w:r w:rsidRPr="000001ED">
        <w:rPr>
          <w:rFonts w:ascii="Times New Roman" w:hAnsi="Times New Roman" w:cs="Times New Roman"/>
          <w:sz w:val="22"/>
          <w:szCs w:val="22"/>
        </w:rPr>
        <w:t>) with the technical support of ICF International. NDHS</w:t>
      </w:r>
      <w:r w:rsidR="00F2050E">
        <w:rPr>
          <w:rFonts w:ascii="Times New Roman" w:hAnsi="Times New Roman" w:cs="Times New Roman"/>
          <w:sz w:val="22"/>
          <w:szCs w:val="22"/>
        </w:rPr>
        <w:t xml:space="preserve"> </w:t>
      </w:r>
      <w:r w:rsidRPr="000001ED">
        <w:rPr>
          <w:rFonts w:ascii="Times New Roman" w:hAnsi="Times New Roman" w:cs="Times New Roman"/>
          <w:sz w:val="22"/>
          <w:szCs w:val="22"/>
        </w:rPr>
        <w:t>was funded by the US Agency for International Development (USAID).</w:t>
      </w:r>
    </w:p>
    <w:p w14:paraId="423F102E" w14:textId="77777777" w:rsidR="00CB6F93" w:rsidRDefault="00CB6F93" w:rsidP="00CB6F93">
      <w:p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597A605F" w14:textId="1C8F5866" w:rsidR="00CB6F93" w:rsidRPr="00CB6F93" w:rsidRDefault="00CB6F93" w:rsidP="00CB6F93">
      <w:p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CB6F93">
        <w:rPr>
          <w:rFonts w:ascii="Times New Roman" w:hAnsi="Times New Roman" w:cs="Times New Roman"/>
          <w:i/>
          <w:iCs/>
          <w:sz w:val="22"/>
          <w:szCs w:val="22"/>
        </w:rPr>
        <w:t>Ethical approval</w:t>
      </w:r>
      <w:r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46D00689" w14:textId="0832C558" w:rsidR="00CB6F93" w:rsidRPr="00CB6F93" w:rsidRDefault="00CB6F93" w:rsidP="00CB6F93">
      <w:pPr>
        <w:jc w:val="both"/>
        <w:rPr>
          <w:rFonts w:ascii="Times New Roman" w:hAnsi="Times New Roman" w:cs="Times New Roman"/>
          <w:sz w:val="22"/>
          <w:szCs w:val="22"/>
        </w:rPr>
      </w:pPr>
      <w:r w:rsidRPr="00CB6F93">
        <w:rPr>
          <w:rFonts w:ascii="Times New Roman" w:hAnsi="Times New Roman" w:cs="Times New Roman"/>
          <w:sz w:val="22"/>
          <w:szCs w:val="22"/>
        </w:rPr>
        <w:t>We requested the DHS program for permission to use NDHS 20</w:t>
      </w:r>
      <w:r w:rsidR="00F2050E">
        <w:rPr>
          <w:rFonts w:ascii="Times New Roman" w:hAnsi="Times New Roman" w:cs="Times New Roman"/>
          <w:sz w:val="22"/>
          <w:szCs w:val="22"/>
        </w:rPr>
        <w:t>11, NDHS 2016 and NDHS 2022</w:t>
      </w:r>
      <w:r w:rsidRPr="00CB6F93">
        <w:rPr>
          <w:rFonts w:ascii="Times New Roman" w:hAnsi="Times New Roman" w:cs="Times New Roman"/>
          <w:sz w:val="22"/>
          <w:szCs w:val="22"/>
        </w:rPr>
        <w:t xml:space="preserve"> dataset</w:t>
      </w:r>
      <w:r w:rsidR="00F2050E">
        <w:rPr>
          <w:rFonts w:ascii="Times New Roman" w:hAnsi="Times New Roman" w:cs="Times New Roman"/>
          <w:sz w:val="22"/>
          <w:szCs w:val="22"/>
        </w:rPr>
        <w:t>s</w:t>
      </w:r>
      <w:r w:rsidRPr="00CB6F93">
        <w:rPr>
          <w:rFonts w:ascii="Times New Roman" w:hAnsi="Times New Roman" w:cs="Times New Roman"/>
          <w:sz w:val="22"/>
          <w:szCs w:val="22"/>
        </w:rPr>
        <w:t xml:space="preserve"> which was granted </w:t>
      </w:r>
      <w:r w:rsidR="00F2050E">
        <w:rPr>
          <w:rFonts w:ascii="Times New Roman" w:hAnsi="Times New Roman" w:cs="Times New Roman"/>
          <w:sz w:val="22"/>
          <w:szCs w:val="22"/>
        </w:rPr>
        <w:t xml:space="preserve">access </w:t>
      </w:r>
      <w:r w:rsidRPr="00CB6F93">
        <w:rPr>
          <w:rFonts w:ascii="Times New Roman" w:hAnsi="Times New Roman" w:cs="Times New Roman"/>
          <w:sz w:val="22"/>
          <w:szCs w:val="22"/>
        </w:rPr>
        <w:t xml:space="preserve">to download and use </w:t>
      </w:r>
      <w:r w:rsidR="00F2050E">
        <w:rPr>
          <w:rFonts w:ascii="Times New Roman" w:hAnsi="Times New Roman" w:cs="Times New Roman"/>
          <w:sz w:val="22"/>
          <w:szCs w:val="22"/>
        </w:rPr>
        <w:t>them</w:t>
      </w:r>
      <w:r w:rsidRPr="00CB6F93">
        <w:rPr>
          <w:rFonts w:ascii="Times New Roman" w:hAnsi="Times New Roman" w:cs="Times New Roman"/>
          <w:sz w:val="22"/>
          <w:szCs w:val="22"/>
        </w:rPr>
        <w:t xml:space="preserve"> from https://www.dhsprogram.com. NHDS obtained ethical approval from the institutional review board of ICF International, United States of America and the ethical review board of Nepal Health Research Council.</w:t>
      </w:r>
    </w:p>
    <w:p w14:paraId="55F62D1C" w14:textId="77777777" w:rsidR="00371D97" w:rsidRPr="000001ED" w:rsidRDefault="00371D97" w:rsidP="000001E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EC51B79" w14:textId="450E9B70" w:rsidR="000001ED" w:rsidRPr="000001ED" w:rsidRDefault="000564D4" w:rsidP="000001ED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0001ED">
        <w:rPr>
          <w:rFonts w:ascii="Times New Roman" w:hAnsi="Times New Roman" w:cs="Times New Roman"/>
          <w:i/>
          <w:iCs/>
          <w:sz w:val="22"/>
          <w:szCs w:val="22"/>
        </w:rPr>
        <w:t>Study setting</w:t>
      </w:r>
      <w:r w:rsidR="000001ED" w:rsidRPr="000001ED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0D66B4E3" w14:textId="75A6101D" w:rsidR="000564D4" w:rsidRPr="000001ED" w:rsidRDefault="000564D4" w:rsidP="000001E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001ED">
        <w:rPr>
          <w:rFonts w:ascii="Times New Roman" w:hAnsi="Times New Roman" w:cs="Times New Roman"/>
          <w:sz w:val="22"/>
          <w:szCs w:val="22"/>
        </w:rPr>
        <w:t xml:space="preserve">Nepal is a landlocked country located in Southeast Asia with an area of 147, 516 km2. Nepal has seven administrative provinces, within which lies 753 municipalities (metropolitan cities: 6, sub-metropolitan cities: 11, urban municipalities: 276, rural municipalities: 460). Nepal has three ecological belt-Mountain, Hill and Terai. Based on Census 2021, the total population of Nepal was 29164578 of which 14911027 </w:t>
      </w:r>
      <w:r w:rsidRPr="000001ED">
        <w:rPr>
          <w:rFonts w:ascii="Times New Roman" w:hAnsi="Times New Roman" w:cs="Times New Roman"/>
          <w:sz w:val="22"/>
          <w:szCs w:val="22"/>
        </w:rPr>
        <w:lastRenderedPageBreak/>
        <w:t>(51.1 %) were females and 14253551 (48.9 %) were males. The human development index (HDI) of rural and urban parts of Nepal were 0.647 and 0.561 respectively with an overall HDI of Nepal to be 0.587.</w:t>
      </w:r>
    </w:p>
    <w:p w14:paraId="38361280" w14:textId="77777777" w:rsidR="000564D4" w:rsidRPr="000001ED" w:rsidRDefault="000564D4" w:rsidP="000001E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D708E85" w14:textId="49D04F39" w:rsidR="000564D4" w:rsidRPr="000001ED" w:rsidRDefault="000564D4" w:rsidP="000001ED">
      <w:pPr>
        <w:spacing w:line="360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0001ED">
        <w:rPr>
          <w:rFonts w:ascii="Times New Roman" w:hAnsi="Times New Roman" w:cs="Times New Roman"/>
          <w:i/>
          <w:iCs/>
          <w:sz w:val="22"/>
          <w:szCs w:val="22"/>
        </w:rPr>
        <w:t>Sample and sampling</w:t>
      </w:r>
      <w:r w:rsidR="000001ED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692395C2" w14:textId="77777777" w:rsidR="000564D4" w:rsidRPr="000001ED" w:rsidRDefault="000564D4" w:rsidP="000001ED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F290F6F" w14:textId="15612895" w:rsidR="00D22E1C" w:rsidRPr="000001ED" w:rsidRDefault="00D22E1C" w:rsidP="000001ED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0001ED">
        <w:rPr>
          <w:rFonts w:ascii="Times New Roman" w:hAnsi="Times New Roman" w:cs="Times New Roman"/>
          <w:i/>
          <w:iCs/>
          <w:sz w:val="22"/>
          <w:szCs w:val="22"/>
        </w:rPr>
        <w:t>Measures</w:t>
      </w:r>
    </w:p>
    <w:p w14:paraId="3BBF252D" w14:textId="77777777" w:rsidR="00080792" w:rsidRDefault="00D22E1C" w:rsidP="000001ED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0001ED">
        <w:rPr>
          <w:rFonts w:ascii="Times New Roman" w:hAnsi="Times New Roman" w:cs="Times New Roman"/>
          <w:i/>
          <w:iCs/>
          <w:sz w:val="22"/>
          <w:szCs w:val="22"/>
        </w:rPr>
        <w:t>Dependent variables</w:t>
      </w:r>
    </w:p>
    <w:p w14:paraId="2F01F69B" w14:textId="54D05CA4" w:rsidR="00080792" w:rsidRPr="00080792" w:rsidRDefault="00080792" w:rsidP="000807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80792">
        <w:rPr>
          <w:rFonts w:ascii="Times New Roman" w:hAnsi="Times New Roman" w:cs="Times New Roman"/>
          <w:i/>
          <w:iCs/>
          <w:sz w:val="22"/>
          <w:szCs w:val="22"/>
        </w:rPr>
        <w:t>Stunting:</w:t>
      </w:r>
      <w:r w:rsidRPr="00080792">
        <w:rPr>
          <w:rFonts w:ascii="Times New Roman" w:hAnsi="Times New Roman" w:cs="Times New Roman"/>
          <w:sz w:val="22"/>
          <w:szCs w:val="22"/>
        </w:rPr>
        <w:t xml:space="preserve"> Children whose height-for-age z score is below minus two standard deviations (–2 SD) from the median of the reference population </w:t>
      </w:r>
      <w:r w:rsidR="00B57A6B">
        <w:rPr>
          <w:rFonts w:ascii="Times New Roman" w:hAnsi="Times New Roman" w:cs="Times New Roman"/>
          <w:sz w:val="22"/>
          <w:szCs w:val="22"/>
        </w:rPr>
        <w:t>were</w:t>
      </w:r>
      <w:r w:rsidRPr="00080792">
        <w:rPr>
          <w:rFonts w:ascii="Times New Roman" w:hAnsi="Times New Roman" w:cs="Times New Roman"/>
          <w:sz w:val="22"/>
          <w:szCs w:val="22"/>
        </w:rPr>
        <w:t xml:space="preserve"> stunted.</w:t>
      </w:r>
    </w:p>
    <w:p w14:paraId="795E682E" w14:textId="392DE6E4" w:rsidR="00080792" w:rsidRPr="00080792" w:rsidRDefault="00080792" w:rsidP="000807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80792">
        <w:rPr>
          <w:rFonts w:ascii="Times New Roman" w:hAnsi="Times New Roman" w:cs="Times New Roman"/>
          <w:i/>
          <w:iCs/>
          <w:sz w:val="22"/>
          <w:szCs w:val="22"/>
        </w:rPr>
        <w:t>Wasting:</w:t>
      </w:r>
      <w:r w:rsidRPr="00080792">
        <w:rPr>
          <w:rFonts w:ascii="Times New Roman" w:hAnsi="Times New Roman" w:cs="Times New Roman"/>
          <w:sz w:val="22"/>
          <w:szCs w:val="22"/>
        </w:rPr>
        <w:t xml:space="preserve"> Children whose weight-for-height z score is below minus two standard deviations (–2 SD) from the median of the reference population </w:t>
      </w:r>
      <w:r w:rsidR="00B57A6B">
        <w:rPr>
          <w:rFonts w:ascii="Times New Roman" w:hAnsi="Times New Roman" w:cs="Times New Roman"/>
          <w:sz w:val="22"/>
          <w:szCs w:val="22"/>
        </w:rPr>
        <w:t>were</w:t>
      </w:r>
      <w:r w:rsidRPr="00080792">
        <w:rPr>
          <w:rFonts w:ascii="Times New Roman" w:hAnsi="Times New Roman" w:cs="Times New Roman"/>
          <w:sz w:val="22"/>
          <w:szCs w:val="22"/>
        </w:rPr>
        <w:t xml:space="preserve"> wasted. </w:t>
      </w:r>
    </w:p>
    <w:p w14:paraId="35CF9EAE" w14:textId="77777777" w:rsidR="00080792" w:rsidRDefault="00080792" w:rsidP="000807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80792">
        <w:rPr>
          <w:rFonts w:ascii="Times New Roman" w:hAnsi="Times New Roman" w:cs="Times New Roman"/>
          <w:i/>
          <w:iCs/>
          <w:sz w:val="22"/>
          <w:szCs w:val="22"/>
        </w:rPr>
        <w:t>Anemia:</w:t>
      </w:r>
      <w:r w:rsidRPr="00080792">
        <w:rPr>
          <w:rFonts w:ascii="Times New Roman" w:hAnsi="Times New Roman" w:cs="Times New Roman"/>
          <w:sz w:val="22"/>
          <w:szCs w:val="22"/>
        </w:rPr>
        <w:t xml:space="preserve"> The children are considered to have anemia if the altitude-adjusted hemoglobin level is &lt;11.0 gm/deciliter.</w:t>
      </w:r>
    </w:p>
    <w:p w14:paraId="6F531CF2" w14:textId="23B2C555" w:rsidR="0085585B" w:rsidRDefault="0085585B" w:rsidP="0085585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57A6B">
        <w:rPr>
          <w:rFonts w:ascii="Times New Roman" w:hAnsi="Times New Roman" w:cs="Times New Roman"/>
          <w:i/>
          <w:iCs/>
          <w:sz w:val="22"/>
          <w:szCs w:val="22"/>
        </w:rPr>
        <w:t>Co-occurrence of stunting</w:t>
      </w:r>
      <w:r w:rsidRPr="00B57A6B">
        <w:rPr>
          <w:rFonts w:ascii="Times New Roman" w:hAnsi="Times New Roman" w:cs="Times New Roman"/>
          <w:i/>
          <w:iCs/>
          <w:sz w:val="22"/>
          <w:szCs w:val="22"/>
        </w:rPr>
        <w:t xml:space="preserve"> and anemia</w:t>
      </w:r>
      <w:r w:rsidRPr="00B57A6B">
        <w:rPr>
          <w:rFonts w:ascii="Times New Roman" w:hAnsi="Times New Roman" w:cs="Times New Roman"/>
          <w:i/>
          <w:iCs/>
          <w:sz w:val="22"/>
          <w:szCs w:val="22"/>
        </w:rPr>
        <w:t xml:space="preserve"> (CSA):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57A6B">
        <w:rPr>
          <w:rFonts w:ascii="Times New Roman" w:hAnsi="Times New Roman" w:cs="Times New Roman"/>
          <w:sz w:val="22"/>
          <w:szCs w:val="22"/>
        </w:rPr>
        <w:t>A child is</w:t>
      </w:r>
      <w:r>
        <w:rPr>
          <w:rFonts w:ascii="Times New Roman" w:hAnsi="Times New Roman" w:cs="Times New Roman"/>
          <w:sz w:val="22"/>
          <w:szCs w:val="22"/>
        </w:rPr>
        <w:t xml:space="preserve"> considered to have CSWA if he/she </w:t>
      </w:r>
      <w:r w:rsidR="00B57A6B">
        <w:rPr>
          <w:rFonts w:ascii="Times New Roman" w:hAnsi="Times New Roman" w:cs="Times New Roman"/>
          <w:sz w:val="22"/>
          <w:szCs w:val="22"/>
        </w:rPr>
        <w:t>has stunting</w:t>
      </w:r>
      <w:r>
        <w:rPr>
          <w:rFonts w:ascii="Times New Roman" w:hAnsi="Times New Roman" w:cs="Times New Roman"/>
          <w:sz w:val="22"/>
          <w:szCs w:val="22"/>
        </w:rPr>
        <w:t>, and anemia</w:t>
      </w:r>
    </w:p>
    <w:p w14:paraId="617692BA" w14:textId="3A5CE29B" w:rsidR="0085585B" w:rsidRDefault="0085585B" w:rsidP="0085585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57A6B">
        <w:rPr>
          <w:rFonts w:ascii="Times New Roman" w:hAnsi="Times New Roman" w:cs="Times New Roman"/>
          <w:i/>
          <w:iCs/>
          <w:sz w:val="22"/>
          <w:szCs w:val="22"/>
        </w:rPr>
        <w:t xml:space="preserve">Co-occurrence of </w:t>
      </w:r>
      <w:r w:rsidRPr="00B57A6B">
        <w:rPr>
          <w:rFonts w:ascii="Times New Roman" w:hAnsi="Times New Roman" w:cs="Times New Roman"/>
          <w:i/>
          <w:iCs/>
          <w:sz w:val="22"/>
          <w:szCs w:val="22"/>
        </w:rPr>
        <w:t>wasting</w:t>
      </w:r>
      <w:r w:rsidRPr="00B57A6B">
        <w:rPr>
          <w:rFonts w:ascii="Times New Roman" w:hAnsi="Times New Roman" w:cs="Times New Roman"/>
          <w:i/>
          <w:iCs/>
          <w:sz w:val="22"/>
          <w:szCs w:val="22"/>
        </w:rPr>
        <w:t xml:space="preserve"> and anemia (C</w:t>
      </w:r>
      <w:r w:rsidR="00B57A6B" w:rsidRPr="00B57A6B">
        <w:rPr>
          <w:rFonts w:ascii="Times New Roman" w:hAnsi="Times New Roman" w:cs="Times New Roman"/>
          <w:i/>
          <w:iCs/>
          <w:sz w:val="22"/>
          <w:szCs w:val="22"/>
        </w:rPr>
        <w:t>W</w:t>
      </w:r>
      <w:r w:rsidRPr="00B57A6B">
        <w:rPr>
          <w:rFonts w:ascii="Times New Roman" w:hAnsi="Times New Roman" w:cs="Times New Roman"/>
          <w:i/>
          <w:iCs/>
          <w:sz w:val="22"/>
          <w:szCs w:val="22"/>
        </w:rPr>
        <w:t>A):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57A6B">
        <w:rPr>
          <w:rFonts w:ascii="Times New Roman" w:hAnsi="Times New Roman" w:cs="Times New Roman"/>
          <w:sz w:val="22"/>
          <w:szCs w:val="22"/>
        </w:rPr>
        <w:t xml:space="preserve">A child is </w:t>
      </w:r>
      <w:r>
        <w:rPr>
          <w:rFonts w:ascii="Times New Roman" w:hAnsi="Times New Roman" w:cs="Times New Roman"/>
          <w:sz w:val="22"/>
          <w:szCs w:val="22"/>
        </w:rPr>
        <w:t xml:space="preserve">considered to have CSWA if he/she </w:t>
      </w:r>
      <w:r w:rsidR="00B57A6B">
        <w:rPr>
          <w:rFonts w:ascii="Times New Roman" w:hAnsi="Times New Roman" w:cs="Times New Roman"/>
          <w:sz w:val="22"/>
          <w:szCs w:val="22"/>
        </w:rPr>
        <w:t xml:space="preserve">has </w:t>
      </w:r>
      <w:r w:rsidR="0011429F">
        <w:rPr>
          <w:rFonts w:ascii="Times New Roman" w:hAnsi="Times New Roman" w:cs="Times New Roman"/>
          <w:sz w:val="22"/>
          <w:szCs w:val="22"/>
        </w:rPr>
        <w:t>wasting</w:t>
      </w:r>
      <w:r>
        <w:rPr>
          <w:rFonts w:ascii="Times New Roman" w:hAnsi="Times New Roman" w:cs="Times New Roman"/>
          <w:sz w:val="22"/>
          <w:szCs w:val="22"/>
        </w:rPr>
        <w:t>, and anemia</w:t>
      </w:r>
    </w:p>
    <w:p w14:paraId="18A43A09" w14:textId="30DEFC72" w:rsidR="0085585B" w:rsidRDefault="00B57A6B" w:rsidP="000807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57A6B">
        <w:rPr>
          <w:rFonts w:ascii="Times New Roman" w:hAnsi="Times New Roman" w:cs="Times New Roman"/>
          <w:i/>
          <w:iCs/>
          <w:sz w:val="22"/>
          <w:szCs w:val="22"/>
        </w:rPr>
        <w:t xml:space="preserve">Co-occurrence of wasting and </w:t>
      </w:r>
      <w:r w:rsidRPr="00B57A6B">
        <w:rPr>
          <w:rFonts w:ascii="Times New Roman" w:hAnsi="Times New Roman" w:cs="Times New Roman"/>
          <w:i/>
          <w:iCs/>
          <w:sz w:val="22"/>
          <w:szCs w:val="22"/>
        </w:rPr>
        <w:t>stunting</w:t>
      </w:r>
      <w:r w:rsidRPr="00B57A6B">
        <w:rPr>
          <w:rFonts w:ascii="Times New Roman" w:hAnsi="Times New Roman" w:cs="Times New Roman"/>
          <w:i/>
          <w:iCs/>
          <w:sz w:val="22"/>
          <w:szCs w:val="22"/>
        </w:rPr>
        <w:t xml:space="preserve"> (</w:t>
      </w:r>
      <w:r w:rsidR="0011429F" w:rsidRPr="00B57A6B">
        <w:rPr>
          <w:rFonts w:ascii="Times New Roman" w:hAnsi="Times New Roman" w:cs="Times New Roman"/>
          <w:i/>
          <w:iCs/>
          <w:sz w:val="22"/>
          <w:szCs w:val="22"/>
        </w:rPr>
        <w:t>CSW</w:t>
      </w:r>
      <w:r w:rsidR="0011429F" w:rsidRPr="00B57A6B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 xml:space="preserve">A child is considered to have CSWA if </w:t>
      </w:r>
      <w:r w:rsidR="0011429F">
        <w:rPr>
          <w:rFonts w:ascii="Times New Roman" w:hAnsi="Times New Roman" w:cs="Times New Roman"/>
          <w:sz w:val="22"/>
          <w:szCs w:val="22"/>
        </w:rPr>
        <w:t>he/she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stunting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wasting.</w:t>
      </w:r>
    </w:p>
    <w:p w14:paraId="60D247A5" w14:textId="78A87FEC" w:rsidR="0010748A" w:rsidRDefault="0010748A" w:rsidP="000807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57A6B">
        <w:rPr>
          <w:rFonts w:ascii="Times New Roman" w:hAnsi="Times New Roman" w:cs="Times New Roman"/>
          <w:i/>
          <w:iCs/>
          <w:sz w:val="22"/>
          <w:szCs w:val="22"/>
        </w:rPr>
        <w:t xml:space="preserve">Co-occurrence of stunting, wasting and Anemia </w:t>
      </w:r>
      <w:r w:rsidR="00EE5F81" w:rsidRPr="00B57A6B">
        <w:rPr>
          <w:rFonts w:ascii="Times New Roman" w:hAnsi="Times New Roman" w:cs="Times New Roman"/>
          <w:i/>
          <w:iCs/>
          <w:sz w:val="22"/>
          <w:szCs w:val="22"/>
        </w:rPr>
        <w:t>(CSWA):</w:t>
      </w:r>
      <w:r w:rsidR="00EE5F81">
        <w:rPr>
          <w:rFonts w:ascii="Times New Roman" w:hAnsi="Times New Roman" w:cs="Times New Roman"/>
          <w:sz w:val="22"/>
          <w:szCs w:val="22"/>
        </w:rPr>
        <w:t xml:space="preserve"> </w:t>
      </w:r>
      <w:r w:rsidR="0011429F">
        <w:rPr>
          <w:rFonts w:ascii="Times New Roman" w:hAnsi="Times New Roman" w:cs="Times New Roman"/>
          <w:sz w:val="22"/>
          <w:szCs w:val="22"/>
        </w:rPr>
        <w:t xml:space="preserve">A child is </w:t>
      </w:r>
      <w:r w:rsidR="006B4D82">
        <w:rPr>
          <w:rFonts w:ascii="Times New Roman" w:hAnsi="Times New Roman" w:cs="Times New Roman"/>
          <w:sz w:val="22"/>
          <w:szCs w:val="22"/>
        </w:rPr>
        <w:t xml:space="preserve">considered to have CSWA if </w:t>
      </w:r>
      <w:r w:rsidR="0011429F">
        <w:rPr>
          <w:rFonts w:ascii="Times New Roman" w:hAnsi="Times New Roman" w:cs="Times New Roman"/>
          <w:sz w:val="22"/>
          <w:szCs w:val="22"/>
        </w:rPr>
        <w:t>he/she</w:t>
      </w:r>
      <w:r w:rsidR="00B57A6B">
        <w:rPr>
          <w:rFonts w:ascii="Times New Roman" w:hAnsi="Times New Roman" w:cs="Times New Roman"/>
          <w:sz w:val="22"/>
          <w:szCs w:val="22"/>
        </w:rPr>
        <w:t xml:space="preserve"> </w:t>
      </w:r>
      <w:r w:rsidR="0011429F">
        <w:rPr>
          <w:rFonts w:ascii="Times New Roman" w:hAnsi="Times New Roman" w:cs="Times New Roman"/>
          <w:sz w:val="22"/>
          <w:szCs w:val="22"/>
        </w:rPr>
        <w:t>has</w:t>
      </w:r>
      <w:r w:rsidR="00B57A6B">
        <w:rPr>
          <w:rFonts w:ascii="Times New Roman" w:hAnsi="Times New Roman" w:cs="Times New Roman"/>
          <w:sz w:val="22"/>
          <w:szCs w:val="22"/>
        </w:rPr>
        <w:t xml:space="preserve"> all</w:t>
      </w:r>
      <w:r w:rsidR="0085585B">
        <w:rPr>
          <w:rFonts w:ascii="Times New Roman" w:hAnsi="Times New Roman" w:cs="Times New Roman"/>
          <w:sz w:val="22"/>
          <w:szCs w:val="22"/>
        </w:rPr>
        <w:t xml:space="preserve"> stunting, wasting and anemia</w:t>
      </w:r>
    </w:p>
    <w:p w14:paraId="2F49280E" w14:textId="77777777" w:rsidR="0085585B" w:rsidRPr="00080792" w:rsidRDefault="0085585B" w:rsidP="00080792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4594EC3" w14:textId="367B858C" w:rsidR="00D22E1C" w:rsidRPr="000001ED" w:rsidRDefault="00D22E1C" w:rsidP="000001ED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0001E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</w:p>
    <w:p w14:paraId="15AE26F3" w14:textId="5F768F7D" w:rsidR="00670C8B" w:rsidRDefault="00D22E1C" w:rsidP="003F778B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0001ED">
        <w:rPr>
          <w:rFonts w:ascii="Times New Roman" w:hAnsi="Times New Roman" w:cs="Times New Roman"/>
          <w:i/>
          <w:iCs/>
          <w:sz w:val="22"/>
          <w:szCs w:val="22"/>
        </w:rPr>
        <w:t>Exposure variables</w:t>
      </w:r>
      <w:r w:rsidR="00E971A1">
        <w:rPr>
          <w:rFonts w:ascii="Times New Roman" w:hAnsi="Times New Roman" w:cs="Times New Roman"/>
          <w:i/>
          <w:iCs/>
          <w:sz w:val="22"/>
          <w:szCs w:val="22"/>
        </w:rPr>
        <w:t>:</w:t>
      </w:r>
      <w:r w:rsidR="00E971A1">
        <w:rPr>
          <w:rFonts w:ascii="Times New Roman" w:hAnsi="Times New Roman" w:cs="Times New Roman"/>
          <w:i/>
          <w:iCs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0C8B" w14:paraId="6203E8E5" w14:textId="77777777" w:rsidTr="00670C8B">
        <w:tc>
          <w:tcPr>
            <w:tcW w:w="4675" w:type="dxa"/>
          </w:tcPr>
          <w:p w14:paraId="559B1412" w14:textId="07EA21E4" w:rsidR="00670C8B" w:rsidRDefault="00670C8B" w:rsidP="003F778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Variables </w:t>
            </w:r>
          </w:p>
        </w:tc>
        <w:tc>
          <w:tcPr>
            <w:tcW w:w="4675" w:type="dxa"/>
          </w:tcPr>
          <w:p w14:paraId="395DE416" w14:textId="02656ADE" w:rsidR="00670C8B" w:rsidRDefault="00670C8B" w:rsidP="003F778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Definition</w:t>
            </w:r>
          </w:p>
        </w:tc>
      </w:tr>
      <w:tr w:rsidR="00670C8B" w14:paraId="0137F356" w14:textId="77777777" w:rsidTr="0036703D">
        <w:tc>
          <w:tcPr>
            <w:tcW w:w="4675" w:type="dxa"/>
            <w:shd w:val="clear" w:color="auto" w:fill="0F9ED5" w:themeFill="accent4"/>
          </w:tcPr>
          <w:p w14:paraId="629E3754" w14:textId="0409D4D3" w:rsidR="00670C8B" w:rsidRDefault="009B78A3" w:rsidP="003F778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Household factors</w:t>
            </w:r>
          </w:p>
        </w:tc>
        <w:tc>
          <w:tcPr>
            <w:tcW w:w="4675" w:type="dxa"/>
            <w:shd w:val="clear" w:color="auto" w:fill="0F9ED5" w:themeFill="accent4"/>
          </w:tcPr>
          <w:p w14:paraId="6ABD74D5" w14:textId="77777777" w:rsidR="00670C8B" w:rsidRDefault="00670C8B" w:rsidP="003F778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9B78A3" w14:paraId="3A1A7CB4" w14:textId="77777777" w:rsidTr="00670C8B">
        <w:tc>
          <w:tcPr>
            <w:tcW w:w="4675" w:type="dxa"/>
          </w:tcPr>
          <w:p w14:paraId="5B9F57C4" w14:textId="6614DEC0" w:rsidR="009B78A3" w:rsidRDefault="009B78A3" w:rsidP="003F778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Food insecurity</w:t>
            </w:r>
          </w:p>
        </w:tc>
        <w:tc>
          <w:tcPr>
            <w:tcW w:w="4675" w:type="dxa"/>
          </w:tcPr>
          <w:p w14:paraId="0AF6D372" w14:textId="77777777" w:rsidR="009B78A3" w:rsidRDefault="009B78A3" w:rsidP="003F778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9B78A3" w14:paraId="1E6DFCA4" w14:textId="77777777" w:rsidTr="00670C8B">
        <w:tc>
          <w:tcPr>
            <w:tcW w:w="4675" w:type="dxa"/>
          </w:tcPr>
          <w:p w14:paraId="4E3DD54F" w14:textId="5843109F" w:rsidR="009B78A3" w:rsidRDefault="009B78A3" w:rsidP="003F778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lastRenderedPageBreak/>
              <w:t>Wealth Quintile</w:t>
            </w:r>
          </w:p>
        </w:tc>
        <w:tc>
          <w:tcPr>
            <w:tcW w:w="4675" w:type="dxa"/>
          </w:tcPr>
          <w:p w14:paraId="352D1AE8" w14:textId="77777777" w:rsidR="009B78A3" w:rsidRDefault="009B78A3" w:rsidP="003F778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9B78A3" w14:paraId="0C6B966C" w14:textId="77777777" w:rsidTr="0036703D">
        <w:tc>
          <w:tcPr>
            <w:tcW w:w="4675" w:type="dxa"/>
            <w:shd w:val="clear" w:color="auto" w:fill="0F9ED5" w:themeFill="accent4"/>
          </w:tcPr>
          <w:p w14:paraId="74069824" w14:textId="05451C2D" w:rsidR="009B78A3" w:rsidRDefault="0036703D" w:rsidP="003F778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Maternal Factors </w:t>
            </w:r>
          </w:p>
        </w:tc>
        <w:tc>
          <w:tcPr>
            <w:tcW w:w="4675" w:type="dxa"/>
            <w:shd w:val="clear" w:color="auto" w:fill="0F9ED5" w:themeFill="accent4"/>
          </w:tcPr>
          <w:p w14:paraId="3C07A5AC" w14:textId="77777777" w:rsidR="009B78A3" w:rsidRDefault="009B78A3" w:rsidP="003F778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36703D" w14:paraId="3AFCCFA5" w14:textId="77777777" w:rsidTr="00670C8B">
        <w:tc>
          <w:tcPr>
            <w:tcW w:w="4675" w:type="dxa"/>
          </w:tcPr>
          <w:p w14:paraId="1B33C6B6" w14:textId="4B38B5F0" w:rsidR="0036703D" w:rsidRDefault="0036703D" w:rsidP="003F778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Mother’s education status</w:t>
            </w:r>
          </w:p>
        </w:tc>
        <w:tc>
          <w:tcPr>
            <w:tcW w:w="4675" w:type="dxa"/>
          </w:tcPr>
          <w:p w14:paraId="2C5B05DE" w14:textId="77777777" w:rsidR="0036703D" w:rsidRDefault="0036703D" w:rsidP="003F778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36703D" w14:paraId="1BDC2B32" w14:textId="77777777" w:rsidTr="00670C8B">
        <w:tc>
          <w:tcPr>
            <w:tcW w:w="4675" w:type="dxa"/>
          </w:tcPr>
          <w:p w14:paraId="59D314B1" w14:textId="2A167266" w:rsidR="0036703D" w:rsidRDefault="0036703D" w:rsidP="003F778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Mother’s nutritional status</w:t>
            </w:r>
          </w:p>
        </w:tc>
        <w:tc>
          <w:tcPr>
            <w:tcW w:w="4675" w:type="dxa"/>
          </w:tcPr>
          <w:p w14:paraId="11CDB66D" w14:textId="77777777" w:rsidR="0036703D" w:rsidRDefault="0036703D" w:rsidP="003F778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36703D" w14:paraId="0AEC8025" w14:textId="77777777" w:rsidTr="00670C8B">
        <w:tc>
          <w:tcPr>
            <w:tcW w:w="4675" w:type="dxa"/>
          </w:tcPr>
          <w:p w14:paraId="12EE679C" w14:textId="36DC6EFC" w:rsidR="0036703D" w:rsidRDefault="0036703D" w:rsidP="003F778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Mother’s participation in decision making</w:t>
            </w:r>
          </w:p>
        </w:tc>
        <w:tc>
          <w:tcPr>
            <w:tcW w:w="4675" w:type="dxa"/>
          </w:tcPr>
          <w:p w14:paraId="5F0982D1" w14:textId="77777777" w:rsidR="0036703D" w:rsidRDefault="0036703D" w:rsidP="003F778B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5A264F21" w14:textId="26FEBD3A" w:rsidR="00E971A1" w:rsidRDefault="00E971A1" w:rsidP="003F778B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26F5434D" w14:textId="77777777" w:rsidR="00E971A1" w:rsidRPr="000001ED" w:rsidRDefault="00E971A1" w:rsidP="00E971A1">
      <w:pPr>
        <w:spacing w:line="360" w:lineRule="auto"/>
        <w:ind w:left="720" w:firstLine="720"/>
        <w:rPr>
          <w:rFonts w:ascii="Times New Roman" w:hAnsi="Times New Roman" w:cs="Times New Roman"/>
          <w:i/>
          <w:iCs/>
          <w:sz w:val="22"/>
          <w:szCs w:val="22"/>
        </w:rPr>
      </w:pPr>
    </w:p>
    <w:p w14:paraId="1C514CBB" w14:textId="7EBB3A90" w:rsidR="00D22E1C" w:rsidRDefault="00D22E1C" w:rsidP="000001ED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0001ED">
        <w:rPr>
          <w:rFonts w:ascii="Times New Roman" w:hAnsi="Times New Roman" w:cs="Times New Roman"/>
          <w:i/>
          <w:iCs/>
          <w:sz w:val="22"/>
          <w:szCs w:val="22"/>
        </w:rPr>
        <w:t>Potential confounding variables</w:t>
      </w:r>
    </w:p>
    <w:p w14:paraId="580F6C68" w14:textId="4998812B" w:rsidR="00A47C9C" w:rsidRPr="00F17C1F" w:rsidRDefault="00A47C9C" w:rsidP="000001E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Adjusting factors: </w:t>
      </w:r>
      <w:r w:rsidRPr="00F17C1F">
        <w:rPr>
          <w:rFonts w:ascii="Times New Roman" w:hAnsi="Times New Roman" w:cs="Times New Roman"/>
          <w:sz w:val="22"/>
          <w:szCs w:val="22"/>
        </w:rPr>
        <w:t>Place of residence</w:t>
      </w:r>
      <w:r w:rsidR="00F17C1F" w:rsidRPr="00F17C1F">
        <w:rPr>
          <w:rFonts w:ascii="Times New Roman" w:hAnsi="Times New Roman" w:cs="Times New Roman"/>
          <w:sz w:val="22"/>
          <w:szCs w:val="22"/>
        </w:rPr>
        <w:t xml:space="preserve"> (rural/urban)</w:t>
      </w:r>
      <w:r w:rsidRPr="00F17C1F">
        <w:rPr>
          <w:rFonts w:ascii="Times New Roman" w:hAnsi="Times New Roman" w:cs="Times New Roman"/>
          <w:sz w:val="22"/>
          <w:szCs w:val="22"/>
        </w:rPr>
        <w:t>, ecological belt</w:t>
      </w:r>
      <w:r w:rsidR="00F17C1F" w:rsidRPr="00F17C1F">
        <w:rPr>
          <w:rFonts w:ascii="Times New Roman" w:hAnsi="Times New Roman" w:cs="Times New Roman"/>
          <w:sz w:val="22"/>
          <w:szCs w:val="22"/>
        </w:rPr>
        <w:t xml:space="preserve"> (hill/mountain/ terai), Age of child (in months), Sex of child (male/female), Birth weight of child (in kg), Minimum dietary diversity (Yes/No)</w:t>
      </w:r>
    </w:p>
    <w:p w14:paraId="7C027242" w14:textId="77777777" w:rsidR="00F17C1F" w:rsidRDefault="00F17C1F" w:rsidP="000001ED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0FE52865" w14:textId="77777777" w:rsidR="00F17C1F" w:rsidRDefault="00F17C1F" w:rsidP="000001ED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56629848" w14:textId="04E63E00" w:rsidR="00D22E1C" w:rsidRPr="000001ED" w:rsidRDefault="00D22E1C" w:rsidP="000001E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001ED">
        <w:rPr>
          <w:rFonts w:ascii="Times New Roman" w:hAnsi="Times New Roman" w:cs="Times New Roman"/>
          <w:i/>
          <w:iCs/>
          <w:sz w:val="22"/>
          <w:szCs w:val="22"/>
        </w:rPr>
        <w:t>Statistical analyses</w:t>
      </w:r>
    </w:p>
    <w:p w14:paraId="68B6B070" w14:textId="77777777" w:rsidR="00D22E1C" w:rsidRPr="000001ED" w:rsidRDefault="00D22E1C" w:rsidP="000001E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408E2EE" w14:textId="77777777" w:rsidR="00D22E1C" w:rsidRPr="000001ED" w:rsidRDefault="00D22E1C" w:rsidP="000001E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4917F43" w14:textId="383FC5B9" w:rsidR="00D22E1C" w:rsidRPr="000001ED" w:rsidRDefault="00D22E1C" w:rsidP="000001ED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001ED">
        <w:rPr>
          <w:rFonts w:ascii="Times New Roman" w:hAnsi="Times New Roman" w:cs="Times New Roman"/>
          <w:b/>
          <w:bCs/>
          <w:sz w:val="22"/>
          <w:szCs w:val="22"/>
        </w:rPr>
        <w:t>Potential challenges and strategies to handle them</w:t>
      </w:r>
      <w:r w:rsidR="00371D97" w:rsidRPr="000001ED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1FCD940" w14:textId="77777777" w:rsidR="00371D97" w:rsidRPr="000001ED" w:rsidRDefault="00371D97" w:rsidP="000001E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86B4108" w14:textId="1B4B7121" w:rsidR="00371D97" w:rsidRPr="000001ED" w:rsidRDefault="00371D97" w:rsidP="000001ED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001ED">
        <w:rPr>
          <w:rFonts w:ascii="Times New Roman" w:hAnsi="Times New Roman" w:cs="Times New Roman"/>
          <w:b/>
          <w:bCs/>
          <w:sz w:val="22"/>
          <w:szCs w:val="22"/>
        </w:rPr>
        <w:t>References:</w:t>
      </w:r>
    </w:p>
    <w:p w14:paraId="1A2C5B6D" w14:textId="77777777" w:rsidR="00D22E1C" w:rsidRPr="000001ED" w:rsidRDefault="00D22E1C" w:rsidP="000001ED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26511AB" w14:textId="77777777" w:rsidR="000213CB" w:rsidRPr="000001ED" w:rsidRDefault="000213CB" w:rsidP="000001ED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0213CB" w:rsidRPr="0000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70"/>
    <w:rsid w:val="000001ED"/>
    <w:rsid w:val="000213CB"/>
    <w:rsid w:val="000564D4"/>
    <w:rsid w:val="00080792"/>
    <w:rsid w:val="0010748A"/>
    <w:rsid w:val="0011429F"/>
    <w:rsid w:val="0014465F"/>
    <w:rsid w:val="0036703D"/>
    <w:rsid w:val="00371D97"/>
    <w:rsid w:val="003F778B"/>
    <w:rsid w:val="00483C93"/>
    <w:rsid w:val="004955C2"/>
    <w:rsid w:val="00670C8B"/>
    <w:rsid w:val="006B4D82"/>
    <w:rsid w:val="00814936"/>
    <w:rsid w:val="0085585B"/>
    <w:rsid w:val="009358FF"/>
    <w:rsid w:val="009B78A3"/>
    <w:rsid w:val="009D0370"/>
    <w:rsid w:val="00A47C9C"/>
    <w:rsid w:val="00AF482A"/>
    <w:rsid w:val="00B57A6B"/>
    <w:rsid w:val="00C30A48"/>
    <w:rsid w:val="00CB6F93"/>
    <w:rsid w:val="00D22E1C"/>
    <w:rsid w:val="00E57F00"/>
    <w:rsid w:val="00E971A1"/>
    <w:rsid w:val="00EC232B"/>
    <w:rsid w:val="00EE5F81"/>
    <w:rsid w:val="00F17C1F"/>
    <w:rsid w:val="00F2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3A7A"/>
  <w15:chartTrackingRefBased/>
  <w15:docId w15:val="{69EE1F64-B2EB-4F80-8B9D-29426467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3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0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Adhikari (bdhikari)</dc:creator>
  <cp:keywords/>
  <dc:description/>
  <cp:lastModifiedBy>Bikram Adhikari (bdhikari)</cp:lastModifiedBy>
  <cp:revision>28</cp:revision>
  <dcterms:created xsi:type="dcterms:W3CDTF">2024-10-31T16:21:00Z</dcterms:created>
  <dcterms:modified xsi:type="dcterms:W3CDTF">2024-11-01T19:28:00Z</dcterms:modified>
</cp:coreProperties>
</file>