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20"/>
          <w:tab w:val="center" w:pos="4805" w:leader="none"/>
          <w:tab w:val="right" w:pos="8652" w:leader="none"/>
        </w:tabs>
        <w:ind w:hanging="0" w:start="0"/>
        <w:jc w:val="center"/>
        <w:rPr>
          <w:rFonts w:eastAsia="黑体"/>
          <w:lang w:val="en-US" w:eastAsia="zh-CN"/>
        </w:rPr>
      </w:pPr>
      <w:bookmarkStart w:id="0" w:name="_GoBack"/>
      <w:bookmarkEnd w:id="0"/>
      <w:r>
        <w:rPr/>
        <w:t>机场旅客吞吐量的集中度测度与结构演变研究</w:t>
      </w:r>
    </w:p>
    <w:p>
      <w:pPr>
        <w:pStyle w:val="Normal"/>
        <w:spacing w:lineRule="auto" w:line="360"/>
        <w:ind w:hanging="0"/>
        <w:rPr>
          <w:rFonts w:ascii="Times New Roman" w:hAnsi="Times New Roman" w:eastAsia="黑体"/>
          <w:b/>
          <w:sz w:val="18"/>
        </w:rPr>
      </w:pPr>
      <w:r>
        <w:rPr>
          <w:rFonts w:eastAsia="黑体"/>
          <w:b/>
          <w:sz w:val="18"/>
        </w:rPr>
      </w:r>
    </w:p>
    <w:p>
      <w:pPr>
        <w:pStyle w:val="Normal"/>
        <w:spacing w:lineRule="auto" w:line="360"/>
        <w:ind w:hanging="0"/>
        <w:rPr/>
      </w:pPr>
      <w:r>
        <w:rPr>
          <w:rFonts w:ascii="Times New Roman" w:hAnsi="Times New Roman" w:eastAsia="黑体"/>
          <w:b/>
          <w:sz w:val="18"/>
        </w:rPr>
        <w:t>摘要：</w:t>
      </w:r>
      <w:r>
        <w:rPr>
          <w:rFonts w:ascii="Times New Roman" w:hAnsi="Times New Roman" w:eastAsia="仿宋"/>
          <w:sz w:val="18"/>
        </w:rPr>
        <w:t>本文以</w:t>
      </w:r>
      <w:r>
        <w:rPr>
          <w:rFonts w:eastAsia="仿宋"/>
          <w:sz w:val="18"/>
        </w:rPr>
        <w:t>2019—2025</w:t>
      </w:r>
      <w:r>
        <w:rPr>
          <w:rFonts w:ascii="Times New Roman" w:hAnsi="Times New Roman" w:eastAsia="仿宋"/>
          <w:sz w:val="18"/>
        </w:rPr>
        <w:t>年全国民用运输机场生产统计公报及其逐机场排名附件为基础，构建</w:t>
      </w:r>
      <w:r>
        <w:rPr>
          <w:rFonts w:eastAsia="仿宋"/>
          <w:sz w:val="18"/>
        </w:rPr>
        <w:t>2018—2025</w:t>
      </w:r>
      <w:r>
        <w:rPr>
          <w:rFonts w:ascii="Times New Roman" w:hAnsi="Times New Roman" w:eastAsia="仿宋"/>
          <w:sz w:val="18"/>
        </w:rPr>
        <w:t>年八个年度的运输机场旅客吞吐量截面数据，运用基尼系数、泰尔指数及其分解、赫芬达尔指数与洛伦兹曲线，系统测度中国运输机场业务量的集中程度与结构演变。研究发现：旅客吞吐量集中度在疫情冲击期阶段性下降（基尼系数由</w:t>
      </w:r>
      <w:r>
        <w:rPr>
          <w:rFonts w:eastAsia="仿宋"/>
          <w:sz w:val="18"/>
        </w:rPr>
        <w:t>2019</w:t>
      </w:r>
      <w:r>
        <w:rPr>
          <w:rFonts w:ascii="Times New Roman" w:hAnsi="Times New Roman" w:eastAsia="仿宋"/>
          <w:sz w:val="18"/>
        </w:rPr>
        <w:t>年的</w:t>
      </w:r>
      <w:r>
        <w:rPr>
          <w:rFonts w:eastAsia="仿宋"/>
          <w:sz w:val="18"/>
        </w:rPr>
        <w:t>0.8012</w:t>
      </w:r>
      <w:r>
        <w:rPr>
          <w:rFonts w:ascii="Times New Roman" w:hAnsi="Times New Roman" w:eastAsia="仿宋"/>
          <w:sz w:val="18"/>
        </w:rPr>
        <w:t>降至</w:t>
      </w:r>
      <w:r>
        <w:rPr>
          <w:rFonts w:eastAsia="仿宋"/>
          <w:sz w:val="18"/>
        </w:rPr>
        <w:t>2021</w:t>
      </w:r>
      <w:r>
        <w:rPr>
          <w:rFonts w:ascii="Times New Roman" w:hAnsi="Times New Roman" w:eastAsia="仿宋"/>
          <w:sz w:val="18"/>
        </w:rPr>
        <w:t>年的</w:t>
      </w:r>
      <w:r>
        <w:rPr>
          <w:rFonts w:eastAsia="仿宋"/>
          <w:sz w:val="18"/>
        </w:rPr>
        <w:t>0.7846</w:t>
      </w:r>
      <w:r>
        <w:rPr>
          <w:rFonts w:ascii="Times New Roman" w:hAnsi="Times New Roman" w:eastAsia="仿宋"/>
          <w:sz w:val="18"/>
        </w:rPr>
        <w:t>），</w:t>
      </w:r>
      <w:r>
        <w:rPr>
          <w:rFonts w:eastAsia="仿宋"/>
          <w:sz w:val="18"/>
        </w:rPr>
        <w:t>2021</w:t>
      </w:r>
      <w:r>
        <w:rPr>
          <w:rFonts w:ascii="Times New Roman" w:hAnsi="Times New Roman" w:eastAsia="仿宋"/>
          <w:sz w:val="18"/>
        </w:rPr>
        <w:t>年后持续回升，</w:t>
      </w:r>
      <w:r>
        <w:rPr>
          <w:rFonts w:eastAsia="仿宋"/>
          <w:sz w:val="18"/>
        </w:rPr>
        <w:t>2025</w:t>
      </w:r>
      <w:r>
        <w:rPr>
          <w:rFonts w:ascii="Times New Roman" w:hAnsi="Times New Roman" w:eastAsia="仿宋"/>
          <w:sz w:val="18"/>
        </w:rPr>
        <w:t>年达到</w:t>
      </w:r>
      <w:r>
        <w:rPr>
          <w:rFonts w:eastAsia="仿宋"/>
          <w:sz w:val="18"/>
        </w:rPr>
        <w:t>0.8171</w:t>
      </w:r>
      <w:r>
        <w:rPr>
          <w:rFonts w:ascii="Times New Roman" w:hAnsi="Times New Roman" w:eastAsia="仿宋"/>
          <w:sz w:val="18"/>
        </w:rPr>
        <w:t>的阶段新高；按枢纽功能分解，枢纽层级间平均规模差异对总体集中度的贡献稳定在</w:t>
      </w:r>
      <w:r>
        <w:rPr>
          <w:rFonts w:eastAsia="仿宋"/>
          <w:sz w:val="18"/>
        </w:rPr>
        <w:t>84%</w:t>
      </w:r>
      <w:r>
        <w:rPr>
          <w:rFonts w:ascii="Times New Roman" w:hAnsi="Times New Roman" w:eastAsia="仿宋"/>
          <w:sz w:val="18"/>
        </w:rPr>
        <w:t>以上，</w:t>
      </w:r>
      <w:r>
        <w:rPr>
          <w:rFonts w:eastAsia="仿宋"/>
          <w:sz w:val="18"/>
        </w:rPr>
        <w:t>2025</w:t>
      </w:r>
      <w:r>
        <w:rPr>
          <w:rFonts w:ascii="Times New Roman" w:hAnsi="Times New Roman" w:eastAsia="仿宋"/>
          <w:sz w:val="18"/>
        </w:rPr>
        <w:t>年国际航空枢纽机场占旅客吞吐量的</w:t>
      </w:r>
      <w:r>
        <w:rPr>
          <w:rFonts w:eastAsia="仿宋"/>
          <w:sz w:val="18"/>
        </w:rPr>
        <w:t>45.91%</w:t>
      </w:r>
      <w:r>
        <w:rPr>
          <w:rFonts w:ascii="Times New Roman" w:hAnsi="Times New Roman" w:eastAsia="仿宋"/>
          <w:sz w:val="18"/>
        </w:rPr>
        <w:t>，非枢纽机场仅占</w:t>
      </w:r>
      <w:r>
        <w:rPr>
          <w:rFonts w:eastAsia="仿宋"/>
          <w:sz w:val="18"/>
        </w:rPr>
        <w:t>16.51%</w:t>
      </w:r>
      <w:r>
        <w:rPr>
          <w:rFonts w:ascii="Times New Roman" w:hAnsi="Times New Roman" w:eastAsia="仿宋"/>
          <w:sz w:val="18"/>
        </w:rPr>
        <w:t>；按四大地区分解，地区间差异的贡献仅约</w:t>
      </w:r>
      <w:r>
        <w:rPr>
          <w:rFonts w:eastAsia="仿宋"/>
          <w:sz w:val="18"/>
        </w:rPr>
        <w:t>15%</w:t>
      </w:r>
      <w:r>
        <w:rPr>
          <w:rFonts w:ascii="Times New Roman" w:hAnsi="Times New Roman" w:eastAsia="仿宋"/>
          <w:sz w:val="18"/>
        </w:rPr>
        <w:t>，地区内部机场间差异才是主要来源；</w:t>
      </w:r>
      <w:r>
        <w:rPr>
          <w:rFonts w:eastAsia="仿宋"/>
          <w:sz w:val="18"/>
        </w:rPr>
        <w:t>2019—2025</w:t>
      </w:r>
      <w:r>
        <w:rPr>
          <w:rFonts w:ascii="Times New Roman" w:hAnsi="Times New Roman" w:eastAsia="仿宋"/>
          <w:sz w:val="18"/>
        </w:rPr>
        <w:t>年千万级机场旅客吞吐量复合增速中位数为</w:t>
      </w:r>
      <w:r>
        <w:rPr>
          <w:rFonts w:eastAsia="仿宋"/>
          <w:sz w:val="18"/>
        </w:rPr>
        <w:t>1.05%</w:t>
      </w:r>
      <w:r>
        <w:rPr>
          <w:rFonts w:ascii="Times New Roman" w:hAnsi="Times New Roman" w:eastAsia="仿宋"/>
          <w:sz w:val="18"/>
        </w:rPr>
        <w:t>，而</w:t>
      </w:r>
      <w:r>
        <w:rPr>
          <w:rFonts w:eastAsia="仿宋"/>
          <w:sz w:val="18"/>
        </w:rPr>
        <w:t>100</w:t>
      </w:r>
      <w:r>
        <w:rPr>
          <w:rFonts w:ascii="Times New Roman" w:hAnsi="Times New Roman" w:eastAsia="仿宋"/>
          <w:sz w:val="18"/>
        </w:rPr>
        <w:t>万级以下小机场为</w:t>
      </w:r>
      <w:r>
        <w:rPr>
          <w:rFonts w:eastAsia="仿宋"/>
          <w:sz w:val="18"/>
        </w:rPr>
        <w:t>-1.61%</w:t>
      </w:r>
      <w:r>
        <w:rPr>
          <w:rFonts w:ascii="Times New Roman" w:hAnsi="Times New Roman" w:eastAsia="仿宋"/>
          <w:sz w:val="18"/>
        </w:rPr>
        <w:t>且超过半数负增长，长尾机场持续收缩。据此提出优化机场网络层级、强化支线机场扶持与资源配置等建议。</w:t>
      </w:r>
    </w:p>
    <w:p>
      <w:pPr>
        <w:pStyle w:val="Normal"/>
        <w:spacing w:lineRule="auto" w:line="360" w:before="0" w:after="120"/>
        <w:ind w:hanging="0"/>
        <w:rPr/>
      </w:pPr>
      <w:r>
        <w:rPr>
          <w:rFonts w:ascii="Times New Roman" w:hAnsi="Times New Roman" w:eastAsia="黑体"/>
          <w:b/>
          <w:sz w:val="18"/>
        </w:rPr>
        <w:t>关键词：</w:t>
      </w:r>
      <w:r>
        <w:rPr>
          <w:rFonts w:ascii="Times New Roman" w:hAnsi="Times New Roman" w:eastAsia="仿宋"/>
          <w:sz w:val="18"/>
        </w:rPr>
        <w:t>运输机场；旅客吞吐量；集中度；泰尔指数；枢纽结构；区域均衡</w:t>
      </w:r>
    </w:p>
    <w:p>
      <w:pPr>
        <w:pStyle w:val="Heading1"/>
        <w:rPr/>
      </w:pPr>
      <w:r>
        <w:rPr/>
        <w:t xml:space="preserve">1  </w:t>
      </w:r>
      <w:r>
        <w:rPr/>
        <w:t>引言</w:t>
      </w:r>
    </w:p>
    <w:p>
      <w:pPr>
        <w:pStyle w:val="Normal"/>
        <w:rPr/>
      </w:pPr>
      <w:r>
        <w:rPr/>
        <w:t>民航运输业是国民经济的基础性、战略性产业。</w:t>
      </w:r>
      <w:r>
        <w:rPr/>
        <w:t>2025</w:t>
      </w:r>
      <w:r>
        <w:rPr/>
        <w:t>年，中国民航全行业完成旅客运输量</w:t>
      </w:r>
      <w:r>
        <w:rPr/>
        <w:t>7.70</w:t>
      </w:r>
      <w:r>
        <w:rPr/>
        <w:t>亿人次，同比增长</w:t>
      </w:r>
      <w:r>
        <w:rPr/>
        <w:t>5.5%</w:t>
      </w:r>
      <w:r>
        <w:rPr/>
        <w:t>，境内运输机场总数达到</w:t>
      </w:r>
      <w:r>
        <w:rPr/>
        <w:t>270</w:t>
      </w:r>
      <w:r>
        <w:rPr/>
        <w:t>个</w:t>
      </w:r>
      <w:r>
        <w:rPr/>
        <w:t>[1]</w:t>
      </w:r>
      <w:r>
        <w:rPr/>
        <w:t>。机场网络在规模持续扩张的同时，业务量分布却高度不均：</w:t>
      </w:r>
      <w:r>
        <w:rPr/>
        <w:t>2025</w:t>
      </w:r>
      <w:r>
        <w:rPr/>
        <w:t>年，</w:t>
      </w:r>
      <w:r>
        <w:rPr/>
        <w:t>41</w:t>
      </w:r>
      <w:r>
        <w:rPr/>
        <w:t>个旅客吞吐量千万级机场合计完成旅客吞吐量约</w:t>
      </w:r>
      <w:r>
        <w:rPr/>
        <w:t>12.80</w:t>
      </w:r>
      <w:r>
        <w:rPr/>
        <w:t>亿人次，占全部机场的</w:t>
      </w:r>
      <w:r>
        <w:rPr/>
        <w:t>83.74%</w:t>
      </w:r>
      <w:r>
        <w:rPr/>
        <w:t>，而</w:t>
      </w:r>
      <w:r>
        <w:rPr/>
        <w:t>100</w:t>
      </w:r>
      <w:r>
        <w:rPr/>
        <w:t>万以下小机场的合计占比不足</w:t>
      </w:r>
      <w:r>
        <w:rPr/>
        <w:t>4%[2]</w:t>
      </w:r>
      <w:r>
        <w:rPr/>
        <w:t>。业务量的空间分布既是机场网络运行状态的直接结果，又深刻影响时刻资源、补贴资金与基础设施投入的配置效率，是民航统计与网络优化研究的重要对象。</w:t>
      </w:r>
    </w:p>
    <w:p>
      <w:pPr>
        <w:pStyle w:val="Normal"/>
        <w:ind w:hanging="0" w:start="0"/>
        <w:rPr/>
      </w:pPr>
      <w:r>
        <w:rPr/>
      </w:r>
    </w:p>
    <w:p>
      <w:pPr>
        <w:pStyle w:val="Normal"/>
        <w:rPr/>
      </w:pPr>
      <w:r>
        <w:rPr/>
        <w:t>对机场业务量分布的既有讨论多侧重于规模排名与增速比较，对集中度水平、结构驱动与长期演变方向缺乏系统的定量回答。本文利用官方公报提供的逐机场数据，构建</w:t>
      </w:r>
      <w:r>
        <w:rPr/>
        <w:t>2018—2025</w:t>
      </w:r>
      <w:r>
        <w:rPr/>
        <w:t>年八个年度截面，从总体水平、枢纽层级结构与地区结构三个维度刻画业务量的长尾分布与集中趋势，并讨论其对网络优化与区域均衡的启示。</w:t>
      </w:r>
    </w:p>
    <w:p>
      <w:pPr>
        <w:pStyle w:val="Normal"/>
        <w:rPr/>
      </w:pPr>
      <w:r>
        <w:rPr/>
      </w:r>
    </w:p>
    <w:p>
      <w:pPr>
        <w:pStyle w:val="Heading1"/>
        <w:rPr/>
      </w:pPr>
      <w:r>
        <w:rPr/>
      </w:r>
      <w:r>
        <w:br w:type="page"/>
      </w:r>
    </w:p>
    <w:p>
      <w:pPr>
        <w:pStyle w:val="Heading1"/>
        <w:spacing w:before="0" w:after="120"/>
        <w:rPr/>
      </w:pPr>
      <w:r>
        <w:rPr/>
        <w:t xml:space="preserve">2  </w:t>
      </w:r>
      <w:r>
        <w:rPr/>
        <w:t>数据与方法</w:t>
      </w:r>
    </w:p>
    <w:p>
      <w:pPr>
        <w:pStyle w:val="Heading2"/>
        <w:rPr/>
      </w:pPr>
      <w:r>
        <w:rPr/>
        <w:t xml:space="preserve">2.1  </w:t>
      </w:r>
      <w:r>
        <w:rPr/>
        <w:t>数据来源与口径</w:t>
      </w:r>
    </w:p>
    <w:p>
      <w:pPr>
        <w:pStyle w:val="Normal"/>
        <w:rPr/>
      </w:pPr>
      <w:r>
        <w:rPr/>
        <w:t>本文数据来自中国民用航空局历年发布的《民航机场生产统计公报》《全国民用运输机场生产统计公报》及其排名附件</w:t>
      </w:r>
      <w:r>
        <w:rPr/>
        <w:t>[2-6]</w:t>
      </w:r>
      <w:r>
        <w:rPr/>
        <w:t>：</w:t>
      </w:r>
      <w:r>
        <w:rPr/>
        <w:t>2019</w:t>
      </w:r>
      <w:r>
        <w:rPr/>
        <w:t>年、</w:t>
      </w:r>
      <w:r>
        <w:rPr/>
        <w:t>2020</w:t>
      </w:r>
      <w:r>
        <w:rPr/>
        <w:t>年、</w:t>
      </w:r>
      <w:r>
        <w:rPr/>
        <w:t>2022</w:t>
      </w:r>
      <w:r>
        <w:rPr/>
        <w:t>年、</w:t>
      </w:r>
      <w:r>
        <w:rPr/>
        <w:t>2023</w:t>
      </w:r>
      <w:r>
        <w:rPr/>
        <w:t>年、</w:t>
      </w:r>
      <w:r>
        <w:rPr/>
        <w:t>2025</w:t>
      </w:r>
      <w:r>
        <w:rPr/>
        <w:t>年采用各年公报的排名附件，</w:t>
      </w:r>
      <w:r>
        <w:rPr/>
        <w:t>2018</w:t>
      </w:r>
      <w:r>
        <w:rPr/>
        <w:t>年、</w:t>
      </w:r>
      <w:r>
        <w:rPr/>
        <w:t>2021</w:t>
      </w:r>
      <w:r>
        <w:rPr/>
        <w:t>年、</w:t>
      </w:r>
      <w:r>
        <w:rPr/>
        <w:t>2024</w:t>
      </w:r>
      <w:r>
        <w:rPr/>
        <w:t>年分别取自</w:t>
      </w:r>
      <w:r>
        <w:rPr/>
        <w:t>2019</w:t>
      </w:r>
      <w:r>
        <w:rPr/>
        <w:t>年、</w:t>
      </w:r>
      <w:r>
        <w:rPr/>
        <w:t>2022</w:t>
      </w:r>
      <w:r>
        <w:rPr/>
        <w:t>年、</w:t>
      </w:r>
      <w:r>
        <w:rPr/>
        <w:t>2025</w:t>
      </w:r>
      <w:r>
        <w:rPr/>
        <w:t>年附件的“上年同期”列，从而形成</w:t>
      </w:r>
      <w:r>
        <w:rPr/>
        <w:t>2018—2025</w:t>
      </w:r>
      <w:r>
        <w:rPr/>
        <w:t>年八个完整年度截面，各年机场数依次为</w:t>
      </w:r>
      <w:r>
        <w:rPr/>
        <w:t>233</w:t>
      </w:r>
      <w:r>
        <w:rPr/>
        <w:t>、</w:t>
      </w:r>
      <w:r>
        <w:rPr/>
        <w:t>238</w:t>
      </w:r>
      <w:r>
        <w:rPr/>
        <w:t>、</w:t>
      </w:r>
      <w:r>
        <w:rPr/>
        <w:t>240</w:t>
      </w:r>
      <w:r>
        <w:rPr/>
        <w:t>、</w:t>
      </w:r>
      <w:r>
        <w:rPr/>
        <w:t>248</w:t>
      </w:r>
      <w:r>
        <w:rPr/>
        <w:t>、</w:t>
      </w:r>
      <w:r>
        <w:rPr/>
        <w:t>253</w:t>
      </w:r>
      <w:r>
        <w:rPr/>
        <w:t>、</w:t>
      </w:r>
      <w:r>
        <w:rPr/>
        <w:t>259</w:t>
      </w:r>
      <w:r>
        <w:rPr/>
        <w:t>、</w:t>
      </w:r>
      <w:r>
        <w:rPr/>
        <w:t>262</w:t>
      </w:r>
      <w:r>
        <w:rPr/>
        <w:t>、</w:t>
      </w:r>
      <w:r>
        <w:rPr/>
        <w:t>266</w:t>
      </w:r>
      <w:r>
        <w:rPr/>
        <w:t>个。分析对象为机场旅客吞吐量（单位：人次），个别当年无数据的机场按缺失处理。</w:t>
      </w:r>
    </w:p>
    <w:p>
      <w:pPr>
        <w:pStyle w:val="Normal"/>
        <w:rPr/>
      </w:pPr>
      <w:r>
        <w:rPr/>
      </w:r>
    </w:p>
    <w:p>
      <w:pPr>
        <w:pStyle w:val="Heading2"/>
        <w:rPr/>
      </w:pPr>
      <w:r>
        <w:rPr/>
        <w:t xml:space="preserve">2.2  </w:t>
      </w:r>
      <w:r>
        <w:rPr/>
        <w:t>测度方法</w:t>
      </w:r>
    </w:p>
    <w:p>
      <w:pPr>
        <w:pStyle w:val="Normal"/>
        <w:rPr/>
      </w:pPr>
      <w:r>
        <w:rPr/>
        <w:t>本文采用收入分配领域常用的三类不平等等价测度。</w:t>
      </w:r>
    </w:p>
    <w:p>
      <w:pPr>
        <w:pStyle w:val="Normal"/>
        <w:rPr/>
      </w:pPr>
      <w:r>
        <w:rPr/>
        <w:t>基尼系数通过洛伦兹曲线计算：将各机场按旅客吞吐量由小到大排序，以累计机场数占比与累计吞吐量占比构成洛伦兹曲线，基尼系数</w:t>
      </w:r>
      <w:r>
        <w:rPr/>
        <w:t>G</w:t>
      </w:r>
      <w:r>
        <w:rPr/>
        <w:t>＝</w:t>
      </w:r>
      <w:r>
        <w:rPr/>
        <w:t>1</w:t>
      </w:r>
      <w:r>
        <w:rPr/>
        <w:t>－</w:t>
      </w:r>
      <w:r>
        <w:rPr/>
        <w:t>2∫₀¹L(p)dp</w:t>
      </w:r>
      <w:r>
        <w:rPr/>
        <w:t>（</w:t>
      </w:r>
      <w:r>
        <w:rPr/>
        <w:t>L(p)</w:t>
      </w:r>
      <w:r>
        <w:rPr/>
        <w:t>为洛伦兹曲线），取值介于</w:t>
      </w:r>
      <w:r>
        <w:rPr/>
        <w:t>0</w:t>
      </w:r>
      <w:r>
        <w:rPr/>
        <w:t>（完全均等）与</w:t>
      </w:r>
      <w:r>
        <w:rPr/>
        <w:t>1</w:t>
      </w:r>
      <w:r>
        <w:rPr/>
        <w:t>（完全集中）之间。</w:t>
      </w:r>
    </w:p>
    <w:p>
      <w:pPr>
        <w:pStyle w:val="Normal"/>
        <w:rPr/>
      </w:pPr>
      <w:r>
        <w:rPr/>
        <w:t>泰尔指数</w:t>
      </w:r>
      <w:r>
        <w:rPr/>
        <w:t>T</w:t>
      </w:r>
      <w:r>
        <w:rPr/>
        <w:t>＝</w:t>
      </w:r>
      <w:r>
        <w:rPr/>
        <w:t>(1/n)Σᵢ[(xᵢ/μ)·ln(xᵢ/μ)]</w:t>
      </w:r>
      <w:r>
        <w:rPr/>
        <w:t>，其中</w:t>
      </w:r>
      <w:r>
        <w:rPr/>
        <w:t>xᵢ</w:t>
      </w:r>
      <w:r>
        <w:rPr/>
        <w:t>为机场</w:t>
      </w:r>
      <w:r>
        <w:rPr/>
        <w:t>i</w:t>
      </w:r>
      <w:r>
        <w:rPr/>
        <w:t>的旅客吞吐量，</w:t>
      </w:r>
      <w:r>
        <w:rPr/>
        <w:t>μ</w:t>
      </w:r>
      <w:r>
        <w:rPr/>
        <w:t>为平均吞吐量，</w:t>
      </w:r>
      <w:r>
        <w:rPr/>
        <w:t>n</w:t>
      </w:r>
      <w:r>
        <w:rPr/>
        <w:t>为机场数；泰尔指数可分解为组间部分与组内部分之和，组间部分反映分组之间平均规模的差异，本文据此量化枢纽层级与地区结构对总体集中度的贡献。</w:t>
      </w:r>
    </w:p>
    <w:p>
      <w:pPr>
        <w:pStyle w:val="Normal"/>
        <w:rPr/>
      </w:pPr>
      <w:r>
        <w:rPr/>
        <w:t>赫芬达尔指数</w:t>
      </w:r>
      <w:r>
        <w:rPr/>
        <w:t>HHI</w:t>
      </w:r>
      <w:r>
        <w:rPr/>
        <w:t>＝</w:t>
      </w:r>
      <w:r>
        <w:rPr/>
        <w:t>Σᵢsᵢ²</w:t>
      </w:r>
      <w:r>
        <w:rPr/>
        <w:t>（</w:t>
      </w:r>
      <w:r>
        <w:rPr/>
        <w:t>sᵢ</w:t>
      </w:r>
      <w:r>
        <w:rPr/>
        <w:t>为机场</w:t>
      </w:r>
      <w:r>
        <w:rPr/>
        <w:t>i</w:t>
      </w:r>
      <w:r>
        <w:rPr/>
        <w:t>吞吐量占比），侧重刻画头部机场的市场主导力。</w:t>
      </w:r>
    </w:p>
    <w:p>
      <w:pPr>
        <w:pStyle w:val="Normal"/>
        <w:ind w:hanging="0" w:start="0"/>
        <w:rPr/>
      </w:pPr>
      <w:r>
        <w:rPr/>
      </w:r>
    </w:p>
    <w:p>
      <w:pPr>
        <w:pStyle w:val="Heading2"/>
        <w:rPr/>
      </w:pPr>
      <w:r>
        <w:rPr/>
        <w:t xml:space="preserve">2.3  </w:t>
      </w:r>
      <w:r>
        <w:rPr/>
        <w:t>分组口径</w:t>
      </w:r>
    </w:p>
    <w:p>
      <w:pPr>
        <w:pStyle w:val="Normal"/>
        <w:rPr/>
      </w:pPr>
      <w:r>
        <w:rPr/>
        <w:t>枢纽层级依据《全国民用运输机场布局规划》（发改基础〔</w:t>
      </w:r>
      <w:r>
        <w:rPr/>
        <w:t>2017</w:t>
      </w:r>
      <w:r>
        <w:rPr/>
        <w:t>〕</w:t>
      </w:r>
      <w:r>
        <w:rPr/>
        <w:t>290</w:t>
      </w:r>
      <w:r>
        <w:rPr/>
        <w:t>号）划分</w:t>
      </w:r>
      <w:r>
        <w:rPr/>
        <w:t>[7]</w:t>
      </w:r>
      <w:r>
        <w:rPr/>
        <w:t>：国际航空枢纽为</w:t>
      </w:r>
      <w:r>
        <w:rPr/>
        <w:t>10</w:t>
      </w:r>
      <w:r>
        <w:rPr/>
        <w:t>个枢纽城市对应的枢纽机场，区域枢纽为</w:t>
      </w:r>
      <w:r>
        <w:rPr/>
        <w:t>29</w:t>
      </w:r>
      <w:r>
        <w:rPr/>
        <w:t>个区域枢纽城市机场，其余为非枢纽机场。地区划分采用东部、中部、西部、东北四大地区口径，与公报表</w:t>
      </w:r>
      <w:r>
        <w:rPr/>
        <w:t>3</w:t>
      </w:r>
      <w:r>
        <w:rPr/>
        <w:t>一致</w:t>
      </w:r>
      <w:r>
        <w:rPr/>
        <w:t>[2]</w:t>
      </w:r>
      <w:r>
        <w:rPr/>
        <w:t>。</w:t>
      </w:r>
    </w:p>
    <w:p>
      <w:pPr>
        <w:pStyle w:val="Normal"/>
        <w:ind w:hanging="0" w:start="0"/>
        <w:rPr/>
      </w:pPr>
      <w:r>
        <w:rPr/>
      </w:r>
    </w:p>
    <w:p>
      <w:pPr>
        <w:pStyle w:val="Heading2"/>
        <w:rPr/>
      </w:pPr>
      <w:r>
        <w:rPr/>
        <w:t xml:space="preserve">2.4  </w:t>
      </w:r>
      <w:r>
        <w:rPr/>
        <w:t>数据质量验证</w:t>
      </w:r>
    </w:p>
    <w:p>
      <w:pPr>
        <w:pStyle w:val="Normal"/>
        <w:rPr/>
      </w:pPr>
      <w:r>
        <w:rPr/>
        <w:t>对数据质量进行了三重核验：一是各年从排名明细汇总的合计与公报“合计”行完全一致，差异为</w:t>
      </w:r>
      <w:r>
        <w:rPr/>
        <w:t>0</w:t>
      </w:r>
      <w:r>
        <w:rPr/>
        <w:t>；二是</w:t>
      </w:r>
      <w:r>
        <w:rPr/>
        <w:t>2019</w:t>
      </w:r>
      <w:r>
        <w:rPr/>
        <w:t>年数据同时见于</w:t>
      </w:r>
      <w:r>
        <w:rPr/>
        <w:t>2019</w:t>
      </w:r>
      <w:r>
        <w:rPr/>
        <w:t>年公报与</w:t>
      </w:r>
      <w:r>
        <w:rPr/>
        <w:t>2020</w:t>
      </w:r>
      <w:r>
        <w:rPr/>
        <w:t>年公报的“上年同期”列，双源交叉比对无一处不一致；三是</w:t>
      </w:r>
      <w:r>
        <w:rPr/>
        <w:t>2025</w:t>
      </w:r>
      <w:r>
        <w:rPr/>
        <w:t>年千万级机场数量（</w:t>
      </w:r>
      <w:r>
        <w:rPr/>
        <w:t>41</w:t>
      </w:r>
      <w:r>
        <w:rPr/>
        <w:t>个）及各梯队同比增速分布（</w:t>
      </w:r>
      <w:r>
        <w:rPr/>
        <w:t>2</w:t>
      </w:r>
      <w:r>
        <w:rPr/>
        <w:t>、</w:t>
      </w:r>
      <w:r>
        <w:rPr/>
        <w:t>13</w:t>
      </w:r>
      <w:r>
        <w:rPr/>
        <w:t>、</w:t>
      </w:r>
      <w:r>
        <w:rPr/>
        <w:t>19</w:t>
      </w:r>
      <w:r>
        <w:rPr/>
        <w:t>、</w:t>
      </w:r>
      <w:r>
        <w:rPr/>
        <w:t>7</w:t>
      </w:r>
      <w:r>
        <w:rPr/>
        <w:t>个）与公报公布值完全一致</w:t>
      </w:r>
      <w:r>
        <w:rPr/>
        <w:t>[2]</w:t>
      </w:r>
      <w:r>
        <w:rPr/>
        <w:t>。</w:t>
      </w:r>
      <w:r>
        <w:br w:type="page"/>
      </w:r>
    </w:p>
    <w:p>
      <w:pPr>
        <w:pStyle w:val="Heading1"/>
        <w:spacing w:before="0" w:after="120"/>
        <w:rPr/>
      </w:pPr>
      <w:r>
        <w:rPr/>
        <w:t xml:space="preserve">3  </w:t>
      </w:r>
      <w:r>
        <w:rPr/>
        <w:t>结果与分析</w:t>
      </w:r>
    </w:p>
    <w:p>
      <w:pPr>
        <w:pStyle w:val="Heading2"/>
        <w:rPr/>
      </w:pPr>
      <w:r>
        <w:rPr/>
        <w:t xml:space="preserve">3.1  </w:t>
      </w:r>
      <w:r>
        <w:rPr/>
        <w:t>总体集中度：先降后升，疫后创新高</w:t>
      </w:r>
    </w:p>
    <w:p>
      <w:pPr>
        <w:pStyle w:val="Caption"/>
        <w:keepNext w:val="true"/>
        <w:rPr/>
      </w:pPr>
      <w:r>
        <w:rPr/>
        <w:t>表</w:t>
      </w:r>
      <w:r>
        <w:rPr/>
        <w:t>1  2018—2025</w:t>
      </w:r>
      <w:r>
        <w:rPr/>
        <w:t>年运输机场旅客吞吐量集中度指标</w:t>
      </w:r>
    </w:p>
    <w:tbl>
      <w:tblPr>
        <w:tblStyle w:val="32"/>
        <w:tblW w:w="9072" w:type="dxa"/>
        <w:jc w:val="center"/>
        <w:tblInd w:w="0" w:type="dxa"/>
        <w:tblLayout w:type="fixed"/>
        <w:tblCellMar>
          <w:top w:w="0" w:type="dxa"/>
          <w:start w:w="108" w:type="dxa"/>
          <w:bottom w:w="0" w:type="dxa"/>
          <w:end w:w="108" w:type="dxa"/>
        </w:tblCellMar>
      </w:tblPr>
      <w:tblGrid>
        <w:gridCol w:w="1134"/>
        <w:gridCol w:w="1134"/>
        <w:gridCol w:w="1134"/>
        <w:gridCol w:w="1134"/>
        <w:gridCol w:w="1134"/>
        <w:gridCol w:w="1134"/>
        <w:gridCol w:w="1134"/>
        <w:gridCol w:w="1134"/>
      </w:tblGrid>
      <w:tr>
        <w:trPr>
          <w:tblHeader w:val="true"/>
          <w:cantSplit/>
        </w:trPr>
        <w:tc>
          <w:tcPr>
            <w:tcW w:w="113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年度</w:t>
            </w:r>
          </w:p>
        </w:tc>
        <w:tc>
          <w:tcPr>
            <w:tcW w:w="113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机场数</w:t>
            </w:r>
          </w:p>
        </w:tc>
        <w:tc>
          <w:tcPr>
            <w:tcW w:w="113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旅客合计</w:t>
            </w:r>
            <w:r>
              <w:rPr>
                <w:kern w:val="0"/>
              </w:rPr>
              <w:t>(</w:t>
            </w:r>
            <w:r>
              <w:rPr>
                <w:kern w:val="0"/>
              </w:rPr>
              <w:t>亿人次</w:t>
            </w:r>
            <w:r>
              <w:rPr>
                <w:kern w:val="0"/>
              </w:rPr>
              <w:t>)</w:t>
            </w:r>
          </w:p>
        </w:tc>
        <w:tc>
          <w:tcPr>
            <w:tcW w:w="113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基尼系数</w:t>
            </w:r>
          </w:p>
        </w:tc>
        <w:tc>
          <w:tcPr>
            <w:tcW w:w="113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泰尔指数</w:t>
            </w:r>
          </w:p>
        </w:tc>
        <w:tc>
          <w:tcPr>
            <w:tcW w:w="113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HHI</w:t>
            </w:r>
          </w:p>
        </w:tc>
        <w:tc>
          <w:tcPr>
            <w:tcW w:w="113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Top5</w:t>
            </w:r>
            <w:r>
              <w:rPr>
                <w:kern w:val="0"/>
              </w:rPr>
              <w:t>占比</w:t>
            </w:r>
            <w:r>
              <w:rPr>
                <w:kern w:val="0"/>
              </w:rPr>
              <w:t>(%)</w:t>
            </w:r>
          </w:p>
        </w:tc>
        <w:tc>
          <w:tcPr>
            <w:tcW w:w="113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千万级占比</w:t>
            </w:r>
            <w:r>
              <w:rPr>
                <w:kern w:val="0"/>
              </w:rPr>
              <w:t>(%)</w:t>
            </w:r>
          </w:p>
        </w:tc>
      </w:tr>
      <w:tr>
        <w:trPr>
          <w:cantSplit/>
        </w:trPr>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2018</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233</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12.65</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0.8104</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1.4112</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0.0286</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27.44</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83.57</w:t>
            </w:r>
          </w:p>
        </w:tc>
      </w:tr>
      <w:tr>
        <w:trPr>
          <w:cantSplit/>
        </w:trPr>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2019</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238</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13.52</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0.8012</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1.3653</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0.0270</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26.51</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83.33</w:t>
            </w:r>
          </w:p>
        </w:tc>
      </w:tr>
      <w:tr>
        <w:trPr>
          <w:cantSplit/>
        </w:trPr>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2020</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240</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8.57</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0.7912</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1.3020</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0.0237</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22.38</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70.02</w:t>
            </w:r>
          </w:p>
        </w:tc>
      </w:tr>
      <w:tr>
        <w:trPr>
          <w:cantSplit/>
        </w:trPr>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2021</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248</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9.07</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0.7846</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1.2665</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0.0219</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20.46</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70.78</w:t>
            </w:r>
          </w:p>
        </w:tc>
      </w:tr>
      <w:tr>
        <w:trPr>
          <w:cantSplit/>
        </w:trPr>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2022</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253</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5.20</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0.7909</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1.2895</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0.0215</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21.27</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52.83</w:t>
            </w:r>
          </w:p>
        </w:tc>
      </w:tr>
      <w:tr>
        <w:trPr>
          <w:cantSplit/>
        </w:trPr>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2023</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259</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12.60</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0.8059</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1.3672</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0.0229</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21.28</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81.32</w:t>
            </w:r>
          </w:p>
        </w:tc>
      </w:tr>
      <w:tr>
        <w:trPr>
          <w:cantSplit/>
        </w:trPr>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2024</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262</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14.60</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0.8136</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1.4114</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0.0241</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23.08</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83.39</w:t>
            </w:r>
          </w:p>
        </w:tc>
      </w:tr>
      <w:tr>
        <w:trPr>
          <w:cantSplit/>
        </w:trPr>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2025</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266</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15.29</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0.8171</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1.4308</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0.0245</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23.71</w:t>
            </w:r>
          </w:p>
        </w:tc>
        <w:tc>
          <w:tcPr>
            <w:tcW w:w="113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83.74</w:t>
            </w:r>
          </w:p>
        </w:tc>
      </w:tr>
    </w:tbl>
    <w:p>
      <w:pPr>
        <w:pStyle w:val="Normal"/>
        <w:rPr/>
      </w:pPr>
      <w:r>
        <w:rPr/>
      </w:r>
    </w:p>
    <w:p>
      <w:pPr>
        <w:pStyle w:val="Normal"/>
        <w:rPr/>
      </w:pPr>
      <w:r>
        <w:rPr/>
        <w:t>表</w:t>
      </w:r>
      <w:r>
        <w:rPr/>
        <w:t>1</w:t>
      </w:r>
      <w:r>
        <w:rPr/>
        <w:t>报告了</w:t>
      </w:r>
      <w:r>
        <w:rPr/>
        <w:t>2018—2025</w:t>
      </w:r>
      <w:r>
        <w:rPr/>
        <w:t>年集中度指标。基尼系数</w:t>
      </w:r>
      <w:r>
        <w:rPr/>
        <w:t>2018</w:t>
      </w:r>
      <w:r>
        <w:rPr/>
        <w:t>年为</w:t>
      </w:r>
      <w:r>
        <w:rPr/>
        <w:t>0.8104</w:t>
      </w:r>
      <w:r>
        <w:rPr/>
        <w:t>，</w:t>
      </w:r>
      <w:r>
        <w:rPr/>
        <w:t>2019</w:t>
      </w:r>
      <w:r>
        <w:rPr/>
        <w:t>年降至</w:t>
      </w:r>
      <w:r>
        <w:rPr/>
        <w:t>0.8012</w:t>
      </w:r>
      <w:r>
        <w:rPr/>
        <w:t>，疫情期间延续下行，</w:t>
      </w:r>
      <w:r>
        <w:rPr/>
        <w:t>2021</w:t>
      </w:r>
      <w:r>
        <w:rPr/>
        <w:t>年达到谷底</w:t>
      </w:r>
      <w:r>
        <w:rPr/>
        <w:t>0.7846</w:t>
      </w:r>
      <w:r>
        <w:rPr/>
        <w:t>；此后逐年回升，</w:t>
      </w:r>
      <w:r>
        <w:rPr/>
        <w:t>2025</w:t>
      </w:r>
      <w:r>
        <w:rPr/>
        <w:t>年达到</w:t>
      </w:r>
      <w:r>
        <w:rPr/>
        <w:t>0.8171</w:t>
      </w:r>
      <w:r>
        <w:rPr/>
        <w:t>，为观测期内最高。泰尔指数走势完全同步，由</w:t>
      </w:r>
      <w:r>
        <w:rPr/>
        <w:t>2019</w:t>
      </w:r>
      <w:r>
        <w:rPr/>
        <w:t>年的</w:t>
      </w:r>
      <w:r>
        <w:rPr/>
        <w:t>1.3653</w:t>
      </w:r>
      <w:r>
        <w:rPr/>
        <w:t>降至</w:t>
      </w:r>
      <w:r>
        <w:rPr/>
        <w:t>2021</w:t>
      </w:r>
      <w:r>
        <w:rPr/>
        <w:t>年的</w:t>
      </w:r>
      <w:r>
        <w:rPr/>
        <w:t>1.2665</w:t>
      </w:r>
      <w:r>
        <w:rPr/>
        <w:t>，再回升至</w:t>
      </w:r>
      <w:r>
        <w:rPr/>
        <w:t>2025</w:t>
      </w:r>
      <w:r>
        <w:rPr/>
        <w:t>年的</w:t>
      </w:r>
      <w:r>
        <w:rPr/>
        <w:t>1.4308</w:t>
      </w:r>
      <w:r>
        <w:rPr/>
        <w:t>。图</w:t>
      </w:r>
      <w:r>
        <w:rPr/>
        <w:t>1</w:t>
      </w:r>
      <w:r>
        <w:rPr/>
        <w:t>显示了两条曲线的同步性。这一“先降后升”形态说明：疫情冲击对大型枢纽的打击相对更大（国际航线停摆、出行半径收窄），一度压低整体集中度；疫后恢复阶段，大型枢纽凭借腹地经济、航线网络与时刻资源率先修复并进一步集中，</w:t>
      </w:r>
      <w:r>
        <w:rPr/>
        <w:t>2025</w:t>
      </w:r>
      <w:r>
        <w:rPr/>
        <w:t>年集中度已超过疫情前水平。</w:t>
      </w:r>
    </w:p>
    <w:p>
      <w:pPr>
        <w:pStyle w:val="Normal"/>
        <w:rPr/>
      </w:pPr>
      <w:r>
        <w:rPr/>
      </w:r>
    </w:p>
    <w:p>
      <w:pPr>
        <w:pStyle w:val="Normal"/>
        <w:rPr/>
      </w:pPr>
      <w:r>
        <w:rPr/>
        <w:t>值得注意的是，反映头部主导力的</w:t>
      </w:r>
      <w:r>
        <w:rPr/>
        <w:t>HHI</w:t>
      </w:r>
      <w:r>
        <w:rPr/>
        <w:t>与</w:t>
      </w:r>
      <w:r>
        <w:rPr/>
        <w:t>Top1</w:t>
      </w:r>
      <w:r>
        <w:rPr/>
        <w:t>占比在</w:t>
      </w:r>
      <w:r>
        <w:rPr/>
        <w:t>2018—2022</w:t>
      </w:r>
      <w:r>
        <w:rPr/>
        <w:t>年间持续下降（</w:t>
      </w:r>
      <w:r>
        <w:rPr/>
        <w:t>HHI</w:t>
      </w:r>
      <w:r>
        <w:rPr/>
        <w:t>由</w:t>
      </w:r>
      <w:r>
        <w:rPr/>
        <w:t>0.0286</w:t>
      </w:r>
      <w:r>
        <w:rPr/>
        <w:t>降至</w:t>
      </w:r>
      <w:r>
        <w:rPr/>
        <w:t>0.0215</w:t>
      </w:r>
      <w:r>
        <w:rPr/>
        <w:t>，</w:t>
      </w:r>
      <w:r>
        <w:rPr/>
        <w:t>Top1</w:t>
      </w:r>
      <w:r>
        <w:rPr/>
        <w:t>占比由</w:t>
      </w:r>
      <w:r>
        <w:rPr/>
        <w:t>7.98%</w:t>
      </w:r>
      <w:r>
        <w:rPr/>
        <w:t>降至</w:t>
      </w:r>
      <w:r>
        <w:rPr/>
        <w:t>5.02%</w:t>
      </w:r>
      <w:r>
        <w:rPr/>
        <w:t>），</w:t>
      </w:r>
      <w:r>
        <w:rPr/>
        <w:t>2023</w:t>
      </w:r>
      <w:r>
        <w:rPr/>
        <w:t>年后虽回升但仍低于</w:t>
      </w:r>
      <w:r>
        <w:rPr/>
        <w:t>2018</w:t>
      </w:r>
      <w:r>
        <w:rPr/>
        <w:t>年，而基尼系数与泰尔指数均已创新高。这说明集中度的上升具有“长尾化”特征：最大机场的相对份额稀释，但中小机场之间的差距扩大、下尾部持续收缩，整体不均程度反而加深。图</w:t>
      </w:r>
      <w:r>
        <w:rPr/>
        <w:t>2</w:t>
      </w:r>
      <w:r>
        <w:rPr/>
        <w:t>的洛伦兹曲线显示，</w:t>
      </w:r>
      <w:r>
        <w:rPr/>
        <w:t>2019</w:t>
      </w:r>
      <w:r>
        <w:rPr/>
        <w:t>、</w:t>
      </w:r>
      <w:r>
        <w:rPr/>
        <w:t>2022</w:t>
      </w:r>
      <w:r>
        <w:rPr/>
        <w:t>、</w:t>
      </w:r>
      <w:r>
        <w:rPr/>
        <w:t>2025</w:t>
      </w:r>
      <w:r>
        <w:rPr/>
        <w:t>三年曲线均高度偏离对角线，</w:t>
      </w:r>
      <w:r>
        <w:rPr/>
        <w:t>2025</w:t>
      </w:r>
      <w:r>
        <w:rPr/>
        <w:t>年曲线位于最外侧，长尾特征逐年强化。</w:t>
      </w:r>
    </w:p>
    <w:p>
      <w:pPr>
        <w:pStyle w:val="Normal"/>
        <w:keepNext w:val="true"/>
        <w:ind w:hanging="0"/>
        <w:jc w:val="center"/>
        <w:rPr/>
      </w:pPr>
      <w:r>
        <w:rPr/>
      </w:r>
    </w:p>
    <w:p>
      <w:pPr>
        <w:pStyle w:val="Normal"/>
        <w:keepNext w:val="true"/>
        <w:ind w:hanging="0"/>
        <w:jc w:val="center"/>
        <w:rPr/>
      </w:pPr>
      <w:r>
        <w:rPr/>
        <w:drawing>
          <wp:inline distT="0" distB="0" distL="0" distR="0">
            <wp:extent cx="5111750" cy="2618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111750" cy="2618105"/>
                    </a:xfrm>
                    <a:prstGeom prst="rect">
                      <a:avLst/>
                    </a:prstGeom>
                    <a:noFill/>
                  </pic:spPr>
                </pic:pic>
              </a:graphicData>
            </a:graphic>
          </wp:inline>
        </w:drawing>
      </w:r>
    </w:p>
    <w:p>
      <w:pPr>
        <w:pStyle w:val="Caption"/>
        <w:rPr/>
      </w:pPr>
      <w:r>
        <w:rPr/>
        <w:t>图</w:t>
      </w:r>
      <w:r>
        <w:rPr/>
        <w:t xml:space="preserve">1  </w:t>
      </w:r>
      <w:r>
        <w:rPr/>
        <w:t>基尼系数与泰尔指数变化趋势（</w:t>
      </w:r>
      <w:r>
        <w:rPr/>
        <w:t>2018—2025</w:t>
      </w:r>
      <w:r>
        <w:rPr/>
        <w:t>）</w:t>
      </w:r>
    </w:p>
    <w:p>
      <w:pPr>
        <w:pStyle w:val="Normal"/>
        <w:keepNext w:val="true"/>
        <w:ind w:hanging="0"/>
        <w:jc w:val="center"/>
        <w:rPr/>
      </w:pPr>
      <w:r>
        <w:rPr/>
        <w:drawing>
          <wp:inline distT="0" distB="0" distL="0" distR="0">
            <wp:extent cx="5111750" cy="451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111750" cy="4510405"/>
                    </a:xfrm>
                    <a:prstGeom prst="rect">
                      <a:avLst/>
                    </a:prstGeom>
                    <a:noFill/>
                  </pic:spPr>
                </pic:pic>
              </a:graphicData>
            </a:graphic>
          </wp:inline>
        </w:drawing>
      </w:r>
    </w:p>
    <w:p>
      <w:pPr>
        <w:pStyle w:val="Caption"/>
        <w:rPr/>
      </w:pPr>
      <w:r>
        <w:rPr/>
        <w:t>图</w:t>
      </w:r>
      <w:r>
        <w:rPr/>
        <w:t xml:space="preserve">2  </w:t>
      </w:r>
      <w:r>
        <w:rPr/>
        <w:t>洛伦兹曲线（</w:t>
      </w:r>
      <w:r>
        <w:rPr/>
        <w:t>2019</w:t>
      </w:r>
      <w:r>
        <w:rPr/>
        <w:t>、</w:t>
      </w:r>
      <w:r>
        <w:rPr/>
        <w:t>2022</w:t>
      </w:r>
      <w:r>
        <w:rPr/>
        <w:t>、</w:t>
      </w:r>
      <w:r>
        <w:rPr/>
        <w:t>2025</w:t>
      </w:r>
      <w:r>
        <w:rPr/>
        <w:t>年）</w:t>
      </w:r>
    </w:p>
    <w:p>
      <w:pPr>
        <w:pStyle w:val="Heading2"/>
        <w:rPr/>
      </w:pPr>
      <w:r>
        <w:rPr/>
      </w:r>
      <w:r>
        <w:br w:type="page"/>
      </w:r>
    </w:p>
    <w:p>
      <w:pPr>
        <w:pStyle w:val="Heading2"/>
        <w:spacing w:before="0" w:after="60"/>
        <w:rPr/>
      </w:pPr>
      <w:r>
        <w:rPr/>
        <w:t xml:space="preserve">3.2  </w:t>
      </w:r>
      <w:r>
        <w:rPr/>
        <w:t>枢纽层级结构：组间差异是集中度的主要来源</w:t>
      </w:r>
    </w:p>
    <w:p>
      <w:pPr>
        <w:pStyle w:val="Normal"/>
        <w:rPr/>
      </w:pPr>
      <w:r>
        <w:rPr/>
        <w:t>按枢纽功能将机场分为国际航空枢纽、区域枢纽与非枢纽三类，泰尔指数可分解为组间与组内两部分。表</w:t>
      </w:r>
      <w:r>
        <w:rPr/>
        <w:t>2</w:t>
      </w:r>
      <w:r>
        <w:rPr/>
        <w:t>显示，</w:t>
      </w:r>
      <w:r>
        <w:rPr/>
        <w:t>2018—2025</w:t>
      </w:r>
      <w:r>
        <w:rPr/>
        <w:t>年组间贡献占比始终在</w:t>
      </w:r>
      <w:r>
        <w:rPr/>
        <w:t>84%</w:t>
      </w:r>
      <w:r>
        <w:rPr/>
        <w:t>以上（区间</w:t>
      </w:r>
      <w:r>
        <w:rPr/>
        <w:t>84.03%—86.57%</w:t>
      </w:r>
      <w:r>
        <w:rPr/>
        <w:t>），即总体集中度约有</w:t>
      </w:r>
      <w:r>
        <w:rPr/>
        <w:t>85%</w:t>
      </w:r>
      <w:r>
        <w:rPr/>
        <w:t>来自枢纽层级之间的平均规模差异，而非同类机场内部的差距，</w:t>
      </w:r>
      <w:r>
        <w:rPr/>
        <w:t>2025</w:t>
      </w:r>
      <w:r>
        <w:rPr/>
        <w:t>年组间贡献为</w:t>
      </w:r>
      <w:r>
        <w:rPr/>
        <w:t>85.57%</w:t>
      </w:r>
      <w:r>
        <w:rPr/>
        <w:t>。从结构占比看（图</w:t>
      </w:r>
      <w:r>
        <w:rPr/>
        <w:t>3</w:t>
      </w:r>
      <w:r>
        <w:rPr/>
        <w:t>），国际枢纽份额在疫情期间由</w:t>
      </w:r>
      <w:r>
        <w:rPr/>
        <w:t>2018</w:t>
      </w:r>
      <w:r>
        <w:rPr/>
        <w:t>年的</w:t>
      </w:r>
      <w:r>
        <w:rPr/>
        <w:t>44.87%</w:t>
      </w:r>
      <w:r>
        <w:rPr/>
        <w:t>降至</w:t>
      </w:r>
      <w:r>
        <w:rPr/>
        <w:t>2022</w:t>
      </w:r>
      <w:r>
        <w:rPr/>
        <w:t>年谷底</w:t>
      </w:r>
      <w:r>
        <w:rPr/>
        <w:t>39.73%</w:t>
      </w:r>
      <w:r>
        <w:rPr/>
        <w:t>，</w:t>
      </w:r>
      <w:r>
        <w:rPr/>
        <w:t>2025</w:t>
      </w:r>
      <w:r>
        <w:rPr/>
        <w:t>年回升至</w:t>
      </w:r>
      <w:r>
        <w:rPr/>
        <w:t>45.91%</w:t>
      </w:r>
      <w:r>
        <w:rPr/>
        <w:t>；区域枢纽占比由</w:t>
      </w:r>
      <w:r>
        <w:rPr/>
        <w:t>2018</w:t>
      </w:r>
      <w:r>
        <w:rPr/>
        <w:t>年的</w:t>
      </w:r>
      <w:r>
        <w:rPr/>
        <w:t>40.06%</w:t>
      </w:r>
      <w:r>
        <w:rPr/>
        <w:t>微降至</w:t>
      </w:r>
      <w:r>
        <w:rPr/>
        <w:t>37.58%</w:t>
      </w:r>
      <w:r>
        <w:rPr/>
        <w:t>；非枢纽机场占比在</w:t>
      </w:r>
      <w:r>
        <w:rPr/>
        <w:t>2021—2022</w:t>
      </w:r>
      <w:r>
        <w:rPr/>
        <w:t>年达到</w:t>
      </w:r>
      <w:r>
        <w:rPr/>
        <w:t>18%</w:t>
      </w:r>
      <w:r>
        <w:rPr/>
        <w:t>左右后回落至</w:t>
      </w:r>
      <w:r>
        <w:rPr/>
        <w:t>16.51%</w:t>
      </w:r>
      <w:r>
        <w:rPr/>
        <w:t>。疫后集中度的回升主要由国际航空枢纽份额扩张驱动：</w:t>
      </w:r>
      <w:r>
        <w:rPr/>
        <w:t>10</w:t>
      </w:r>
      <w:r>
        <w:rPr/>
        <w:t>个国际枢纽城市的</w:t>
      </w:r>
      <w:r>
        <w:rPr/>
        <w:t>13</w:t>
      </w:r>
      <w:r>
        <w:rPr/>
        <w:t>个机场，以不足</w:t>
      </w:r>
      <w:r>
        <w:rPr/>
        <w:t>5%</w:t>
      </w:r>
      <w:r>
        <w:rPr/>
        <w:t>的数量承接了</w:t>
      </w:r>
      <w:r>
        <w:rPr/>
        <w:t>45.91%</w:t>
      </w:r>
      <w:r>
        <w:rPr/>
        <w:t>的旅客吞吐量；北上广三大城市</w:t>
      </w:r>
      <w:r>
        <w:rPr/>
        <w:t>2025</w:t>
      </w:r>
      <w:r>
        <w:rPr/>
        <w:t>年旅客吞吐量占比达</w:t>
      </w:r>
      <w:r>
        <w:rPr/>
        <w:t>22.44%</w:t>
      </w:r>
      <w:r>
        <w:rPr/>
        <w:t>、货邮占比</w:t>
      </w:r>
      <w:r>
        <w:rPr/>
        <w:t>40.69%</w:t>
      </w:r>
      <w:r>
        <w:rPr/>
        <w:t>，与国际航线旅客吞吐量占全国六成的格局相互印证</w:t>
      </w:r>
      <w:r>
        <w:rPr/>
        <w:t>[1-2]</w:t>
      </w:r>
      <w:r>
        <w:rPr/>
        <w:t>。</w:t>
      </w:r>
    </w:p>
    <w:p>
      <w:pPr>
        <w:pStyle w:val="Caption"/>
        <w:keepNext w:val="true"/>
        <w:rPr/>
      </w:pPr>
      <w:r>
        <w:rPr/>
        <w:t>表</w:t>
      </w:r>
      <w:r>
        <w:rPr/>
        <w:t xml:space="preserve">2  </w:t>
      </w:r>
      <w:r>
        <w:rPr/>
        <w:t>泰尔指数按枢纽功能分解及三类机场占比</w:t>
      </w:r>
    </w:p>
    <w:tbl>
      <w:tblPr>
        <w:tblStyle w:val="32"/>
        <w:tblW w:w="9072" w:type="dxa"/>
        <w:jc w:val="center"/>
        <w:tblInd w:w="0" w:type="dxa"/>
        <w:tblLayout w:type="fixed"/>
        <w:tblCellMar>
          <w:top w:w="0" w:type="dxa"/>
          <w:start w:w="108" w:type="dxa"/>
          <w:bottom w:w="0" w:type="dxa"/>
          <w:end w:w="108" w:type="dxa"/>
        </w:tblCellMar>
      </w:tblPr>
      <w:tblGrid>
        <w:gridCol w:w="1512"/>
        <w:gridCol w:w="1511"/>
        <w:gridCol w:w="1513"/>
        <w:gridCol w:w="1512"/>
        <w:gridCol w:w="1511"/>
        <w:gridCol w:w="1513"/>
      </w:tblGrid>
      <w:tr>
        <w:trPr>
          <w:tblHeader w:val="true"/>
          <w:cantSplit/>
        </w:trPr>
        <w:tc>
          <w:tcPr>
            <w:tcW w:w="1512"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年度</w:t>
            </w:r>
          </w:p>
        </w:tc>
        <w:tc>
          <w:tcPr>
            <w:tcW w:w="1511"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泰尔总指数</w:t>
            </w:r>
          </w:p>
        </w:tc>
        <w:tc>
          <w:tcPr>
            <w:tcW w:w="1513"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组间贡献</w:t>
            </w:r>
            <w:r>
              <w:rPr>
                <w:kern w:val="0"/>
              </w:rPr>
              <w:t>(%)</w:t>
            </w:r>
          </w:p>
        </w:tc>
        <w:tc>
          <w:tcPr>
            <w:tcW w:w="1512"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国际枢纽占比</w:t>
            </w:r>
            <w:r>
              <w:rPr>
                <w:kern w:val="0"/>
              </w:rPr>
              <w:t>(%)</w:t>
            </w:r>
          </w:p>
        </w:tc>
        <w:tc>
          <w:tcPr>
            <w:tcW w:w="1511"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区域枢纽占比</w:t>
            </w:r>
            <w:r>
              <w:rPr>
                <w:kern w:val="0"/>
              </w:rPr>
              <w:t>(%)</w:t>
            </w:r>
          </w:p>
        </w:tc>
        <w:tc>
          <w:tcPr>
            <w:tcW w:w="1513"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非枢纽占比</w:t>
            </w:r>
            <w:r>
              <w:rPr>
                <w:kern w:val="0"/>
              </w:rPr>
              <w:t>(%)</w:t>
            </w:r>
          </w:p>
        </w:tc>
      </w:tr>
      <w:tr>
        <w:trPr>
          <w:cantSplit/>
        </w:trPr>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2018</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1.4112</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86.57</w:t>
            </w:r>
          </w:p>
        </w:tc>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44.87</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40.06</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15.08</w:t>
            </w:r>
          </w:p>
        </w:tc>
      </w:tr>
      <w:tr>
        <w:trPr>
          <w:cantSplit/>
        </w:trPr>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2019</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1.3653</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84.03</w:t>
            </w:r>
          </w:p>
        </w:tc>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43.79</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39.62</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16.58</w:t>
            </w:r>
          </w:p>
        </w:tc>
      </w:tr>
      <w:tr>
        <w:trPr>
          <w:cantSplit/>
        </w:trPr>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2020</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1.3020</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85.78</w:t>
            </w:r>
          </w:p>
        </w:tc>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41.80</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40.96</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17.24</w:t>
            </w:r>
          </w:p>
        </w:tc>
      </w:tr>
      <w:tr>
        <w:trPr>
          <w:cantSplit/>
        </w:trPr>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2021</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1.2665</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84.67</w:t>
            </w:r>
          </w:p>
        </w:tc>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41.07</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40.54</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18.39</w:t>
            </w:r>
          </w:p>
        </w:tc>
      </w:tr>
      <w:tr>
        <w:trPr>
          <w:cantSplit/>
        </w:trPr>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2022</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1.2895</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84.39</w:t>
            </w:r>
          </w:p>
        </w:tc>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39.73</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42.26</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18</w:t>
            </w:r>
          </w:p>
        </w:tc>
      </w:tr>
      <w:tr>
        <w:trPr>
          <w:cantSplit/>
        </w:trPr>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2023</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1.3672</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86.06</w:t>
            </w:r>
          </w:p>
        </w:tc>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43.98</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39.23</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16.79</w:t>
            </w:r>
          </w:p>
        </w:tc>
      </w:tr>
      <w:tr>
        <w:trPr>
          <w:cantSplit/>
        </w:trPr>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2024</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1.4114</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85.88</w:t>
            </w:r>
          </w:p>
        </w:tc>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45.30</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38.39</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16.31</w:t>
            </w:r>
          </w:p>
        </w:tc>
      </w:tr>
      <w:tr>
        <w:trPr>
          <w:cantSplit/>
        </w:trPr>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2025</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1.4308</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85.57</w:t>
            </w:r>
          </w:p>
        </w:tc>
        <w:tc>
          <w:tcPr>
            <w:tcW w:w="1512"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45.91</w:t>
            </w:r>
          </w:p>
        </w:tc>
        <w:tc>
          <w:tcPr>
            <w:tcW w:w="1511"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37.58</w:t>
            </w:r>
          </w:p>
        </w:tc>
        <w:tc>
          <w:tcPr>
            <w:tcW w:w="1513"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16.51</w:t>
            </w:r>
          </w:p>
        </w:tc>
      </w:tr>
    </w:tbl>
    <w:p>
      <w:pPr>
        <w:pStyle w:val="Normal"/>
        <w:keepNext w:val="true"/>
        <w:ind w:hanging="0"/>
        <w:jc w:val="center"/>
        <w:rPr/>
      </w:pPr>
      <w:r>
        <w:rPr/>
        <w:drawing>
          <wp:inline distT="0" distB="0" distL="0" distR="0">
            <wp:extent cx="5111750" cy="2742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111750" cy="2742565"/>
                    </a:xfrm>
                    <a:prstGeom prst="rect">
                      <a:avLst/>
                    </a:prstGeom>
                    <a:noFill/>
                  </pic:spPr>
                </pic:pic>
              </a:graphicData>
            </a:graphic>
          </wp:inline>
        </w:drawing>
      </w:r>
    </w:p>
    <w:p>
      <w:pPr>
        <w:pStyle w:val="Caption"/>
        <w:rPr/>
      </w:pPr>
      <w:r>
        <w:rPr/>
        <w:t>图</w:t>
      </w:r>
      <w:r>
        <w:rPr/>
        <w:t xml:space="preserve">3  </w:t>
      </w:r>
      <w:r>
        <w:rPr/>
        <w:t>按枢纽功能分类的旅客吞吐量结构（</w:t>
      </w:r>
      <w:r>
        <w:rPr/>
        <w:t>2018—2025</w:t>
      </w:r>
      <w:r>
        <w:rPr/>
        <w:t>）</w:t>
      </w:r>
    </w:p>
    <w:p>
      <w:pPr>
        <w:pStyle w:val="Heading2"/>
        <w:rPr/>
      </w:pPr>
      <w:r>
        <w:rPr/>
      </w:r>
      <w:r>
        <w:br w:type="page"/>
      </w:r>
    </w:p>
    <w:p>
      <w:pPr>
        <w:pStyle w:val="Heading2"/>
        <w:spacing w:before="0" w:after="60"/>
        <w:rPr/>
      </w:pPr>
      <w:r>
        <w:rPr/>
        <w:t xml:space="preserve">3.3  </w:t>
      </w:r>
      <w:r>
        <w:rPr/>
        <w:t>地区结构：地区间差异小，地区内长尾大</w:t>
      </w:r>
    </w:p>
    <w:p>
      <w:pPr>
        <w:pStyle w:val="Normal"/>
        <w:rPr/>
      </w:pPr>
      <w:r>
        <w:rPr/>
        <w:t>按东部、中部、西部、东北四大地区划分，表</w:t>
      </w:r>
      <w:r>
        <w:rPr/>
        <w:t>4</w:t>
      </w:r>
      <w:r>
        <w:rPr/>
        <w:t>报告了各地区旅客吞吐量占比。东部地区长期占半数左右（</w:t>
      </w:r>
      <w:r>
        <w:rPr/>
        <w:t>2025</w:t>
      </w:r>
      <w:r>
        <w:rPr/>
        <w:t>年为</w:t>
      </w:r>
      <w:r>
        <w:rPr/>
        <w:t>52.44%</w:t>
      </w:r>
      <w:r>
        <w:rPr/>
        <w:t>），中部约</w:t>
      </w:r>
      <w:r>
        <w:rPr/>
        <w:t>11%</w:t>
      </w:r>
      <w:r>
        <w:rPr/>
        <w:t>，西部约</w:t>
      </w:r>
      <w:r>
        <w:rPr/>
        <w:t>31%</w:t>
      </w:r>
      <w:r>
        <w:rPr/>
        <w:t>，东北约</w:t>
      </w:r>
      <w:r>
        <w:rPr/>
        <w:t>6%</w:t>
      </w:r>
      <w:r>
        <w:rPr/>
        <w:t>。泰尔指数分解显示，地区间差异的贡献仅为</w:t>
      </w:r>
      <w:r>
        <w:rPr/>
        <w:t>12.37%—15.65%</w:t>
      </w:r>
      <w:r>
        <w:rPr/>
        <w:t>（</w:t>
      </w:r>
      <w:r>
        <w:rPr/>
        <w:t>2025</w:t>
      </w:r>
      <w:r>
        <w:rPr/>
        <w:t>年为</w:t>
      </w:r>
      <w:r>
        <w:rPr/>
        <w:t>15.65%</w:t>
      </w:r>
      <w:r>
        <w:rPr/>
        <w:t>），远低于枢纽层级的贡献。这意味着中国机场业务量分布不均的主要矛盾不在“地区之间”，而在“地区内部”：无论东部还是西部，都存在少数核心枢纽与大量小机场并存的格局，地区内机场间的规模断层远大于地区均值差异。以西部为例，</w:t>
      </w:r>
      <w:r>
        <w:rPr/>
        <w:t>134</w:t>
      </w:r>
      <w:r>
        <w:rPr/>
        <w:t>个机场合计占全国</w:t>
      </w:r>
      <w:r>
        <w:rPr/>
        <w:t>30.64%</w:t>
      </w:r>
      <w:r>
        <w:rPr/>
        <w:t>的吞吐量，但成都、昆明、西安、重庆、乌鲁木齐</w:t>
      </w:r>
      <w:r>
        <w:rPr/>
        <w:t>5</w:t>
      </w:r>
      <w:r>
        <w:rPr/>
        <w:t>个国际枢纽城市的</w:t>
      </w:r>
      <w:r>
        <w:rPr/>
        <w:t>6</w:t>
      </w:r>
      <w:r>
        <w:rPr/>
        <w:t>个枢纽机场即承接了西部</w:t>
      </w:r>
      <w:r>
        <w:rPr/>
        <w:t>57.1%</w:t>
      </w:r>
      <w:r>
        <w:rPr/>
        <w:t>的吞吐量。</w:t>
      </w:r>
    </w:p>
    <w:p>
      <w:pPr>
        <w:pStyle w:val="Caption"/>
        <w:keepNext w:val="true"/>
        <w:rPr/>
      </w:pPr>
      <w:r>
        <w:rPr/>
        <w:t>表</w:t>
      </w:r>
      <w:r>
        <w:rPr/>
        <w:t xml:space="preserve">4  </w:t>
      </w:r>
      <w:r>
        <w:rPr/>
        <w:t>四大地区旅客吞吐量占比（</w:t>
      </w:r>
      <w:r>
        <w:rPr/>
        <w:t>2018—2025</w:t>
      </w:r>
      <w:r>
        <w:rPr/>
        <w:t>）</w:t>
      </w:r>
    </w:p>
    <w:tbl>
      <w:tblPr>
        <w:tblStyle w:val="32"/>
        <w:tblW w:w="9070" w:type="dxa"/>
        <w:jc w:val="center"/>
        <w:tblInd w:w="0" w:type="dxa"/>
        <w:tblLayout w:type="fixed"/>
        <w:tblCellMar>
          <w:top w:w="0" w:type="dxa"/>
          <w:start w:w="108" w:type="dxa"/>
          <w:bottom w:w="0" w:type="dxa"/>
          <w:end w:w="108" w:type="dxa"/>
        </w:tblCellMar>
      </w:tblPr>
      <w:tblGrid>
        <w:gridCol w:w="1814"/>
        <w:gridCol w:w="1814"/>
        <w:gridCol w:w="1814"/>
        <w:gridCol w:w="1814"/>
        <w:gridCol w:w="1814"/>
      </w:tblGrid>
      <w:tr>
        <w:trPr>
          <w:tblHeader w:val="true"/>
          <w:cantSplit/>
        </w:trPr>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年度</w:t>
            </w:r>
          </w:p>
        </w:tc>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东部占比</w:t>
            </w:r>
            <w:r>
              <w:rPr>
                <w:kern w:val="0"/>
              </w:rPr>
              <w:t>(%)</w:t>
            </w:r>
          </w:p>
        </w:tc>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中部占比</w:t>
            </w:r>
            <w:r>
              <w:rPr>
                <w:kern w:val="0"/>
              </w:rPr>
              <w:t>(%)</w:t>
            </w:r>
          </w:p>
        </w:tc>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西部占比</w:t>
            </w:r>
            <w:r>
              <w:rPr>
                <w:kern w:val="0"/>
              </w:rPr>
              <w:t>(%)</w:t>
            </w:r>
          </w:p>
        </w:tc>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东北占比</w:t>
            </w:r>
            <w:r>
              <w:rPr>
                <w:kern w:val="0"/>
              </w:rPr>
              <w:t>(%)</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2018</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53.24</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11.10</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29.43</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6.23</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2019</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52.49</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11.51</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29.82</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6.18</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2020</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49.86</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11.83</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32.56</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5.75</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2021</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48.79</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12.44</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32.75</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6.02</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2022</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47.76</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12</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33.37</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6.87</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2023</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50.64</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11.33</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31.63</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6.40</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2024</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51.84</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11.03</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30.74</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6.39</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2025</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52.45</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10.70</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30.64</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6.20</w:t>
            </w:r>
          </w:p>
        </w:tc>
      </w:tr>
    </w:tbl>
    <w:p>
      <w:pPr>
        <w:pStyle w:val="Heading2"/>
        <w:rPr/>
      </w:pPr>
      <w:r>
        <w:rPr/>
      </w:r>
    </w:p>
    <w:p>
      <w:pPr>
        <w:pStyle w:val="Heading2"/>
        <w:rPr/>
      </w:pPr>
      <w:r>
        <w:rPr/>
        <w:t xml:space="preserve">3.4  </w:t>
      </w:r>
      <w:r>
        <w:rPr/>
        <w:t>梯队分化：大机场恢复快，长尾持续收缩</w:t>
      </w:r>
    </w:p>
    <w:p>
      <w:pPr>
        <w:pStyle w:val="Normal"/>
        <w:rPr/>
      </w:pPr>
      <w:r>
        <w:rPr/>
        <w:t>2025</w:t>
      </w:r>
      <w:r>
        <w:rPr/>
        <w:t>年，按旅客吞吐量将机场分为千万级以上（</w:t>
      </w:r>
      <w:r>
        <w:rPr/>
        <w:t>41</w:t>
      </w:r>
      <w:r>
        <w:rPr/>
        <w:t>个）、</w:t>
      </w:r>
      <w:r>
        <w:rPr/>
        <w:t>200</w:t>
      </w:r>
      <w:r>
        <w:rPr/>
        <w:t>万—</w:t>
      </w:r>
      <w:r>
        <w:rPr/>
        <w:t>1000</w:t>
      </w:r>
      <w:r>
        <w:rPr/>
        <w:t>万（</w:t>
      </w:r>
      <w:r>
        <w:rPr/>
        <w:t>38</w:t>
      </w:r>
      <w:r>
        <w:rPr/>
        <w:t>个）、</w:t>
      </w:r>
      <w:r>
        <w:rPr/>
        <w:t>200</w:t>
      </w:r>
      <w:r>
        <w:rPr/>
        <w:t>万以下（</w:t>
      </w:r>
      <w:r>
        <w:rPr/>
        <w:t>187</w:t>
      </w:r>
      <w:r>
        <w:rPr/>
        <w:t>个）三个梯队（另有</w:t>
      </w:r>
      <w:r>
        <w:rPr/>
        <w:t>5</w:t>
      </w:r>
      <w:r>
        <w:rPr/>
        <w:t>个当年新增机场无上年基数，不参与增速统计）。表</w:t>
      </w:r>
      <w:r>
        <w:rPr/>
        <w:t>3</w:t>
      </w:r>
      <w:r>
        <w:rPr/>
        <w:t>与图</w:t>
      </w:r>
      <w:r>
        <w:rPr/>
        <w:t>4</w:t>
      </w:r>
      <w:r>
        <w:rPr/>
        <w:t>显示，</w:t>
      </w:r>
      <w:r>
        <w:rPr/>
        <w:t>2025</w:t>
      </w:r>
      <w:r>
        <w:rPr/>
        <w:t>年同比增速分布呈明显梯度：千万级机场中</w:t>
      </w:r>
      <w:r>
        <w:rPr/>
        <w:t>2</w:t>
      </w:r>
      <w:r>
        <w:rPr/>
        <w:t>个增速超过</w:t>
      </w:r>
      <w:r>
        <w:rPr/>
        <w:t>10%</w:t>
      </w:r>
      <w:r>
        <w:rPr/>
        <w:t>、</w:t>
      </w:r>
      <w:r>
        <w:rPr/>
        <w:t>13</w:t>
      </w:r>
      <w:r>
        <w:rPr/>
        <w:t>个增长</w:t>
      </w:r>
      <w:r>
        <w:rPr/>
        <w:t>5%—10%</w:t>
      </w:r>
      <w:r>
        <w:rPr/>
        <w:t>、</w:t>
      </w:r>
      <w:r>
        <w:rPr/>
        <w:t>19</w:t>
      </w:r>
      <w:r>
        <w:rPr/>
        <w:t>个增长</w:t>
      </w:r>
      <w:r>
        <w:rPr/>
        <w:t>0—5%</w:t>
      </w:r>
      <w:r>
        <w:rPr/>
        <w:t>、仅</w:t>
      </w:r>
      <w:r>
        <w:rPr/>
        <w:t>7</w:t>
      </w:r>
      <w:r>
        <w:rPr/>
        <w:t>个负增长；而</w:t>
      </w:r>
      <w:r>
        <w:rPr/>
        <w:t>200</w:t>
      </w:r>
      <w:r>
        <w:rPr/>
        <w:t>万以下机场中负增长达</w:t>
      </w:r>
      <w:r>
        <w:rPr/>
        <w:t>74</w:t>
      </w:r>
      <w:r>
        <w:rPr/>
        <w:t>个，占该梯队有增速机场的</w:t>
      </w:r>
      <w:r>
        <w:rPr/>
        <w:t>40.7%</w:t>
      </w:r>
      <w:r>
        <w:rPr/>
        <w:t>。从</w:t>
      </w:r>
      <w:r>
        <w:rPr/>
        <w:t>2019—2025</w:t>
      </w:r>
      <w:r>
        <w:rPr/>
        <w:t>年复合增速看（</w:t>
      </w:r>
      <w:r>
        <w:rPr/>
        <w:t>214</w:t>
      </w:r>
      <w:r>
        <w:rPr/>
        <w:t>个两期均有数据的机场），分化更加清晰：</w:t>
      </w:r>
      <w:r>
        <w:rPr/>
        <w:t>2019</w:t>
      </w:r>
      <w:r>
        <w:rPr/>
        <w:t>年千万级机场（</w:t>
      </w:r>
      <w:r>
        <w:rPr/>
        <w:t>37</w:t>
      </w:r>
      <w:r>
        <w:rPr/>
        <w:t>个）复合增速中位数为</w:t>
      </w:r>
      <w:r>
        <w:rPr/>
        <w:t>1.05%</w:t>
      </w:r>
      <w:r>
        <w:rPr/>
        <w:t>，负增长比例</w:t>
      </w:r>
      <w:r>
        <w:rPr/>
        <w:t>24.3%</w:t>
      </w:r>
      <w:r>
        <w:rPr/>
        <w:t>；</w:t>
      </w:r>
      <w:r>
        <w:rPr/>
        <w:t>100</w:t>
      </w:r>
      <w:r>
        <w:rPr/>
        <w:t>万—</w:t>
      </w:r>
      <w:r>
        <w:rPr/>
        <w:t>1000</w:t>
      </w:r>
      <w:r>
        <w:rPr/>
        <w:t>万机场中位数为</w:t>
      </w:r>
      <w:r>
        <w:rPr/>
        <w:t>0.76%</w:t>
      </w:r>
      <w:r>
        <w:rPr/>
        <w:t>；</w:t>
      </w:r>
      <w:r>
        <w:rPr/>
        <w:t>100</w:t>
      </w:r>
      <w:r>
        <w:rPr/>
        <w:t>万以下机场（</w:t>
      </w:r>
      <w:r>
        <w:rPr/>
        <w:t>120</w:t>
      </w:r>
      <w:r>
        <w:rPr/>
        <w:t>个）中位数为</w:t>
      </w:r>
      <w:r>
        <w:rPr/>
        <w:t>-1.61%</w:t>
      </w:r>
      <w:r>
        <w:rPr/>
        <w:t>，负增长比例达</w:t>
      </w:r>
      <w:r>
        <w:rPr/>
        <w:t>53.3%</w:t>
      </w:r>
      <w:r>
        <w:rPr/>
        <w:t>。规模越小的机场恢复越差、收缩越明显，长尾机场与头部机场的差距随时间持续拉大。</w:t>
      </w:r>
    </w:p>
    <w:p>
      <w:pPr>
        <w:pStyle w:val="Normal"/>
        <w:rPr/>
      </w:pPr>
      <w:r>
        <w:rPr/>
      </w:r>
    </w:p>
    <w:p>
      <w:pPr>
        <w:pStyle w:val="Caption"/>
        <w:keepNext w:val="true"/>
        <w:rPr/>
      </w:pPr>
      <w:r>
        <w:rPr/>
        <w:t>表</w:t>
      </w:r>
      <w:r>
        <w:rPr/>
        <w:t>3  2025</w:t>
      </w:r>
      <w:r>
        <w:rPr/>
        <w:t>年各梯队机场旅客吞吐量同比增速分布（个）</w:t>
      </w:r>
    </w:p>
    <w:tbl>
      <w:tblPr>
        <w:tblStyle w:val="32"/>
        <w:tblW w:w="9070" w:type="dxa"/>
        <w:jc w:val="center"/>
        <w:tblInd w:w="0" w:type="dxa"/>
        <w:tblLayout w:type="fixed"/>
        <w:tblCellMar>
          <w:top w:w="0" w:type="dxa"/>
          <w:start w:w="108" w:type="dxa"/>
          <w:bottom w:w="0" w:type="dxa"/>
          <w:end w:w="108" w:type="dxa"/>
        </w:tblCellMar>
      </w:tblPr>
      <w:tblGrid>
        <w:gridCol w:w="1814"/>
        <w:gridCol w:w="1814"/>
        <w:gridCol w:w="1814"/>
        <w:gridCol w:w="1814"/>
        <w:gridCol w:w="1814"/>
      </w:tblGrid>
      <w:tr>
        <w:trPr>
          <w:tblHeader w:val="true"/>
          <w:cantSplit/>
        </w:trPr>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梯队</w:t>
            </w:r>
          </w:p>
        </w:tc>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w:t>
            </w:r>
            <w:r>
              <w:rPr>
                <w:kern w:val="0"/>
              </w:rPr>
              <w:t>10%</w:t>
            </w:r>
          </w:p>
        </w:tc>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5%—10%</w:t>
            </w:r>
          </w:p>
        </w:tc>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0—5%</w:t>
            </w:r>
          </w:p>
        </w:tc>
        <w:tc>
          <w:tcPr>
            <w:tcW w:w="1814" w:type="dxa"/>
            <w:tcBorders>
              <w:top w:val="single" w:sz="8" w:space="0" w:color="000000"/>
              <w:bottom w:val="single" w:sz="4" w:space="0" w:color="000000"/>
            </w:tcBorders>
            <w:vAlign w:val="center"/>
          </w:tcPr>
          <w:p>
            <w:pPr>
              <w:pStyle w:val="TableText"/>
              <w:widowControl/>
              <w:suppressAutoHyphens w:val="true"/>
              <w:jc w:val="center"/>
              <w:rPr>
                <w:kern w:val="0"/>
              </w:rPr>
            </w:pPr>
            <w:r>
              <w:rPr>
                <w:kern w:val="0"/>
              </w:rPr>
              <w:t>负增长</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千万级以上</w:t>
            </w:r>
            <w:r>
              <w:rPr>
                <w:kern w:val="0"/>
              </w:rPr>
              <w:t>(41</w:t>
            </w:r>
            <w:r>
              <w:rPr>
                <w:kern w:val="0"/>
              </w:rPr>
              <w:t>个</w:t>
            </w:r>
            <w:r>
              <w:rPr>
                <w:kern w:val="0"/>
              </w:rPr>
              <w:t>)</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13</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19</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7</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200</w:t>
            </w:r>
            <w:r>
              <w:rPr>
                <w:kern w:val="0"/>
              </w:rPr>
              <w:t>万—</w:t>
            </w:r>
            <w:r>
              <w:rPr>
                <w:kern w:val="0"/>
              </w:rPr>
              <w:t>1000</w:t>
            </w:r>
            <w:r>
              <w:rPr>
                <w:kern w:val="0"/>
              </w:rPr>
              <w:t>万</w:t>
            </w:r>
            <w:r>
              <w:rPr>
                <w:kern w:val="0"/>
              </w:rPr>
              <w:t>(38</w:t>
            </w:r>
            <w:r>
              <w:rPr>
                <w:kern w:val="0"/>
              </w:rPr>
              <w:t>个</w:t>
            </w:r>
            <w:r>
              <w:rPr>
                <w:kern w:val="0"/>
              </w:rPr>
              <w:t>)</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17</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11</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5</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200</w:t>
            </w:r>
            <w:r>
              <w:rPr>
                <w:kern w:val="0"/>
              </w:rPr>
              <w:t>万以下</w:t>
            </w:r>
            <w:r>
              <w:rPr>
                <w:kern w:val="0"/>
              </w:rPr>
              <w:t>(187</w:t>
            </w:r>
            <w:r>
              <w:rPr>
                <w:kern w:val="0"/>
              </w:rPr>
              <w:t>个</w:t>
            </w:r>
            <w:r>
              <w:rPr>
                <w:kern w:val="0"/>
              </w:rPr>
              <w:t>)</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67</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19</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22</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74</w:t>
            </w:r>
          </w:p>
        </w:tc>
      </w:tr>
      <w:tr>
        <w:trPr>
          <w:cantSplit/>
        </w:trPr>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全部</w:t>
            </w:r>
            <w:r>
              <w:rPr>
                <w:kern w:val="0"/>
              </w:rPr>
              <w:t>(266</w:t>
            </w:r>
            <w:r>
              <w:rPr>
                <w:kern w:val="0"/>
              </w:rPr>
              <w:t>个</w:t>
            </w:r>
            <w:r>
              <w:rPr>
                <w:kern w:val="0"/>
              </w:rPr>
              <w:t>)</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86</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43</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46</w:t>
            </w:r>
          </w:p>
        </w:tc>
        <w:tc>
          <w:tcPr>
            <w:tcW w:w="1814" w:type="dxa"/>
            <w:tcBorders>
              <w:top w:val="single" w:sz="8" w:space="0" w:color="000000"/>
              <w:bottom w:val="single" w:sz="8" w:space="0" w:color="000000"/>
            </w:tcBorders>
            <w:vAlign w:val="center"/>
          </w:tcPr>
          <w:p>
            <w:pPr>
              <w:pStyle w:val="TableText"/>
              <w:widowControl/>
              <w:suppressAutoHyphens w:val="true"/>
              <w:jc w:val="center"/>
              <w:rPr>
                <w:kern w:val="0"/>
              </w:rPr>
            </w:pPr>
            <w:r>
              <w:rPr>
                <w:kern w:val="0"/>
              </w:rPr>
              <w:t>86</w:t>
            </w:r>
          </w:p>
        </w:tc>
      </w:tr>
    </w:tbl>
    <w:p>
      <w:pPr>
        <w:pStyle w:val="Normal"/>
        <w:keepNext w:val="true"/>
        <w:ind w:hanging="0"/>
        <w:jc w:val="center"/>
        <w:rPr/>
      </w:pPr>
      <w:r>
        <w:rPr/>
      </w:r>
      <w:r>
        <w:br w:type="page"/>
      </w:r>
    </w:p>
    <w:p>
      <w:pPr>
        <w:pStyle w:val="Normal"/>
        <w:spacing w:before="0" w:after="0"/>
        <w:ind w:hanging="0"/>
        <w:jc w:val="center"/>
        <w:rPr/>
      </w:pPr>
      <w:r>
        <w:rPr/>
        <w:drawing>
          <wp:inline distT="0" distB="0" distL="0" distR="0">
            <wp:extent cx="5111750" cy="2618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111750" cy="2618105"/>
                    </a:xfrm>
                    <a:prstGeom prst="rect">
                      <a:avLst/>
                    </a:prstGeom>
                    <a:noFill/>
                  </pic:spPr>
                </pic:pic>
              </a:graphicData>
            </a:graphic>
          </wp:inline>
        </w:drawing>
      </w:r>
    </w:p>
    <w:p>
      <w:pPr>
        <w:pStyle w:val="Caption"/>
        <w:rPr/>
      </w:pPr>
      <w:r>
        <w:rPr/>
        <w:t>图</w:t>
      </w:r>
      <w:r>
        <w:rPr/>
        <w:t>4  2025</w:t>
      </w:r>
      <w:r>
        <w:rPr/>
        <w:t>年各梯队机场旅客吞吐量同比增速分布</w:t>
      </w:r>
    </w:p>
    <w:p>
      <w:pPr>
        <w:pStyle w:val="Heading2"/>
        <w:rPr/>
      </w:pPr>
      <w:r>
        <w:rPr/>
      </w:r>
    </w:p>
    <w:p>
      <w:pPr>
        <w:pStyle w:val="Heading2"/>
        <w:rPr/>
      </w:pPr>
      <w:r>
        <w:rPr/>
        <w:t xml:space="preserve">3.5  </w:t>
      </w:r>
      <w:r>
        <w:rPr/>
        <w:t>货邮集中度更高</w:t>
      </w:r>
    </w:p>
    <w:p>
      <w:pPr>
        <w:pStyle w:val="Normal"/>
        <w:rPr/>
      </w:pPr>
      <w:r>
        <w:rPr/>
        <w:t>作为对照，货邮集中度远高于旅客：</w:t>
      </w:r>
      <w:r>
        <w:rPr/>
        <w:t>2019—2025</w:t>
      </w:r>
      <w:r>
        <w:rPr/>
        <w:t>年货邮基尼系数稳定在</w:t>
      </w:r>
      <w:r>
        <w:rPr/>
        <w:t>0.9093—0.9230</w:t>
      </w:r>
      <w:r>
        <w:rPr/>
        <w:t>之间，</w:t>
      </w:r>
      <w:r>
        <w:rPr/>
        <w:t>2025</w:t>
      </w:r>
      <w:r>
        <w:rPr/>
        <w:t>年为</w:t>
      </w:r>
      <w:r>
        <w:rPr/>
        <w:t>0.9142</w:t>
      </w:r>
      <w:r>
        <w:rPr/>
        <w:t>，货邮吞吐量</w:t>
      </w:r>
      <w:r>
        <w:rPr/>
        <w:t>Top5</w:t>
      </w:r>
      <w:r>
        <w:rPr/>
        <w:t>机场占比</w:t>
      </w:r>
      <w:r>
        <w:rPr/>
        <w:t>51.59%</w:t>
      </w:r>
      <w:r>
        <w:rPr/>
        <w:t>，北上广三地货邮占比</w:t>
      </w:r>
      <w:r>
        <w:rPr/>
        <w:t>40.69%[2]</w:t>
      </w:r>
      <w:r>
        <w:rPr/>
        <w:t>。货邮业务更依赖国际航线网络与货运枢纽，其更高集中度提示：货运资源应更聚焦少数枢纽，旅客业务则需兼顾网络普惠性。</w:t>
      </w:r>
    </w:p>
    <w:p>
      <w:pPr>
        <w:pStyle w:val="Heading1"/>
        <w:rPr/>
      </w:pPr>
      <w:r>
        <w:rPr/>
      </w:r>
      <w:r>
        <w:br w:type="page"/>
      </w:r>
    </w:p>
    <w:p>
      <w:pPr>
        <w:pStyle w:val="Heading1"/>
        <w:spacing w:before="0" w:after="120"/>
        <w:rPr/>
      </w:pPr>
      <w:r>
        <w:rPr/>
        <w:t xml:space="preserve">4  </w:t>
      </w:r>
      <w:r>
        <w:rPr/>
        <w:t>结论与建议</w:t>
      </w:r>
    </w:p>
    <w:p>
      <w:pPr>
        <w:pStyle w:val="Normal"/>
        <w:rPr/>
      </w:pPr>
      <w:r>
        <w:rPr/>
        <w:t>本文基于</w:t>
      </w:r>
      <w:r>
        <w:rPr/>
        <w:t>2018—2025</w:t>
      </w:r>
      <w:r>
        <w:rPr/>
        <w:t>年八个年度截面，系统测度了中国运输机场旅客吞吐量的集中度及其结构。主要结论如下：</w:t>
      </w:r>
    </w:p>
    <w:p>
      <w:pPr>
        <w:pStyle w:val="Normal"/>
        <w:rPr/>
      </w:pPr>
      <w:r>
        <w:rPr/>
        <w:t>（</w:t>
      </w:r>
      <w:r>
        <w:rPr/>
        <w:t>1</w:t>
      </w:r>
      <w:r>
        <w:rPr/>
        <w:t>）总体集中度呈“先降后升”形态，</w:t>
      </w:r>
      <w:r>
        <w:rPr/>
        <w:t>2025</w:t>
      </w:r>
      <w:r>
        <w:rPr/>
        <w:t>年基尼系数</w:t>
      </w:r>
      <w:r>
        <w:rPr/>
        <w:t>0.8171</w:t>
      </w:r>
      <w:r>
        <w:rPr/>
        <w:t>、泰尔指数</w:t>
      </w:r>
      <w:r>
        <w:rPr/>
        <w:t>1.4308</w:t>
      </w:r>
      <w:r>
        <w:rPr/>
        <w:t>均为观测期新高。疫后大型枢纽加速集中，机场网络“头部集中、长尾收缩”的格局进一步强化。</w:t>
      </w:r>
    </w:p>
    <w:p>
      <w:pPr>
        <w:pStyle w:val="Normal"/>
        <w:rPr/>
      </w:pPr>
      <w:r>
        <w:rPr/>
        <w:t>（</w:t>
      </w:r>
      <w:r>
        <w:rPr/>
        <w:t>2</w:t>
      </w:r>
      <w:r>
        <w:rPr/>
        <w:t>）集中度的主要来源是枢纽层级间差异，组间贡献稳定在</w:t>
      </w:r>
      <w:r>
        <w:rPr/>
        <w:t>84%</w:t>
      </w:r>
      <w:r>
        <w:rPr/>
        <w:t>以上；国际航空枢纽份额</w:t>
      </w:r>
      <w:r>
        <w:rPr/>
        <w:t>2025</w:t>
      </w:r>
      <w:r>
        <w:rPr/>
        <w:t>年达</w:t>
      </w:r>
      <w:r>
        <w:rPr/>
        <w:t>45.91%</w:t>
      </w:r>
      <w:r>
        <w:rPr/>
        <w:t>，是疫后集中度回升的主要驱动。地区间差异对集中度的贡献仅约</w:t>
      </w:r>
      <w:r>
        <w:rPr/>
        <w:t>15%</w:t>
      </w:r>
      <w:r>
        <w:rPr/>
        <w:t>，业务量分布不均的主要矛盾在地区内部。</w:t>
      </w:r>
    </w:p>
    <w:p>
      <w:pPr>
        <w:pStyle w:val="Normal"/>
        <w:rPr/>
      </w:pPr>
      <w:r>
        <w:rPr/>
        <w:t>（</w:t>
      </w:r>
      <w:r>
        <w:rPr/>
        <w:t>3</w:t>
      </w:r>
      <w:r>
        <w:rPr/>
        <w:t>）小机场疫后恢复显著滞后，</w:t>
      </w:r>
      <w:r>
        <w:rPr/>
        <w:t>2019—2025</w:t>
      </w:r>
      <w:r>
        <w:rPr/>
        <w:t>年</w:t>
      </w:r>
      <w:r>
        <w:rPr/>
        <w:t>100</w:t>
      </w:r>
      <w:r>
        <w:rPr/>
        <w:t>万以下机场旅客吞吐量复合增速中位数为</w:t>
      </w:r>
      <w:r>
        <w:rPr/>
        <w:t>-1.61%</w:t>
      </w:r>
      <w:r>
        <w:rPr/>
        <w:t>，超半数负增长，长尾机场持续收缩。</w:t>
      </w:r>
    </w:p>
    <w:p>
      <w:pPr>
        <w:pStyle w:val="Normal"/>
        <w:rPr/>
      </w:pPr>
      <w:r>
        <w:rPr/>
      </w:r>
    </w:p>
    <w:p>
      <w:pPr>
        <w:pStyle w:val="Normal"/>
        <w:rPr/>
      </w:pPr>
      <w:r>
        <w:rPr/>
        <w:t>据此提出以下建议：第一，坚持“枢纽—区域—支线”分层协同的机场网络布局，明确非枢纽机场在区域服务中的功能定位，避免盲目对标大型枢纽。第二，加强对长尾机场的扶持，在时刻配置、航线补贴与基本航空服务计划中向支线机场倾斜，遏制其业务量持续收缩。第三，强化国际航空枢纽功能，依托北上广、成渝等枢纽优化国际航线网络与中转衔接，提升枢纽国际竞争力。第四，将集中度与结构分解指标纳入机场网络运行的常态化监测，为机场布局规划与资源配置提供量化依据。</w:t>
      </w:r>
    </w:p>
    <w:p>
      <w:pPr>
        <w:pStyle w:val="Normal"/>
        <w:rPr/>
      </w:pPr>
      <w:r>
        <w:rPr/>
      </w:r>
    </w:p>
    <w:p>
      <w:pPr>
        <w:pStyle w:val="Normal"/>
        <w:rPr/>
      </w:pPr>
      <w:r>
        <w:rPr/>
      </w:r>
    </w:p>
    <w:p>
      <w:pPr>
        <w:pStyle w:val="Heading1"/>
        <w:spacing w:before="0" w:after="120"/>
        <w:rPr/>
      </w:pPr>
      <w:r>
        <w:rPr/>
        <w:t>参考文献</w:t>
      </w:r>
    </w:p>
    <w:p>
      <w:pPr>
        <w:pStyle w:val="Normal"/>
        <w:spacing w:lineRule="auto" w:line="288" w:before="0" w:after="0"/>
        <w:ind w:hanging="360" w:start="360"/>
        <w:rPr/>
      </w:pPr>
      <w:r>
        <w:rPr>
          <w:rFonts w:eastAsia="宋体"/>
          <w:sz w:val="18"/>
        </w:rPr>
        <w:t xml:space="preserve">[1] </w:t>
      </w:r>
      <w:r>
        <w:rPr>
          <w:rFonts w:ascii="Times New Roman" w:hAnsi="Times New Roman"/>
          <w:sz w:val="18"/>
        </w:rPr>
        <w:t>中国民用航空局</w:t>
      </w:r>
      <w:r>
        <w:rPr>
          <w:rFonts w:eastAsia="宋体"/>
          <w:sz w:val="18"/>
        </w:rPr>
        <w:t>. 2025</w:t>
      </w:r>
      <w:r>
        <w:rPr>
          <w:rFonts w:ascii="Times New Roman" w:hAnsi="Times New Roman"/>
          <w:sz w:val="18"/>
        </w:rPr>
        <w:t>年民航行业发展统计公报</w:t>
      </w:r>
      <w:r>
        <w:rPr>
          <w:rFonts w:eastAsia="宋体"/>
          <w:sz w:val="18"/>
        </w:rPr>
        <w:t xml:space="preserve">[R]. </w:t>
      </w:r>
      <w:r>
        <w:rPr>
          <w:rFonts w:ascii="Times New Roman" w:hAnsi="Times New Roman"/>
          <w:sz w:val="18"/>
        </w:rPr>
        <w:t>北京</w:t>
      </w:r>
      <w:r>
        <w:rPr>
          <w:rFonts w:eastAsia="宋体"/>
          <w:sz w:val="18"/>
        </w:rPr>
        <w:t xml:space="preserve">: </w:t>
      </w:r>
      <w:r>
        <w:rPr>
          <w:rFonts w:ascii="Times New Roman" w:hAnsi="Times New Roman"/>
          <w:sz w:val="18"/>
        </w:rPr>
        <w:t>中国民用航空局</w:t>
      </w:r>
      <w:r>
        <w:rPr>
          <w:rFonts w:eastAsia="宋体"/>
          <w:sz w:val="18"/>
        </w:rPr>
        <w:t>, 2026.</w:t>
      </w:r>
    </w:p>
    <w:p>
      <w:pPr>
        <w:pStyle w:val="Normal"/>
        <w:spacing w:lineRule="auto" w:line="288" w:before="0" w:after="0"/>
        <w:ind w:hanging="360" w:start="360"/>
        <w:rPr/>
      </w:pPr>
      <w:r>
        <w:rPr>
          <w:rFonts w:eastAsia="宋体"/>
          <w:sz w:val="18"/>
        </w:rPr>
        <w:t xml:space="preserve">[2] </w:t>
      </w:r>
      <w:r>
        <w:rPr>
          <w:rFonts w:ascii="Times New Roman" w:hAnsi="Times New Roman"/>
          <w:sz w:val="18"/>
        </w:rPr>
        <w:t>中国民用航空局</w:t>
      </w:r>
      <w:r>
        <w:rPr>
          <w:rFonts w:eastAsia="宋体"/>
          <w:sz w:val="18"/>
        </w:rPr>
        <w:t>. 2025</w:t>
      </w:r>
      <w:r>
        <w:rPr>
          <w:rFonts w:ascii="Times New Roman" w:hAnsi="Times New Roman"/>
          <w:sz w:val="18"/>
        </w:rPr>
        <w:t>年全国民用运输机场生产统计公报</w:t>
      </w:r>
      <w:r>
        <w:rPr>
          <w:rFonts w:eastAsia="宋体"/>
          <w:sz w:val="18"/>
        </w:rPr>
        <w:t xml:space="preserve">[R]. </w:t>
      </w:r>
      <w:r>
        <w:rPr>
          <w:rFonts w:ascii="Times New Roman" w:hAnsi="Times New Roman"/>
          <w:sz w:val="18"/>
        </w:rPr>
        <w:t>北京</w:t>
      </w:r>
      <w:r>
        <w:rPr>
          <w:rFonts w:eastAsia="宋体"/>
          <w:sz w:val="18"/>
        </w:rPr>
        <w:t xml:space="preserve">: </w:t>
      </w:r>
      <w:r>
        <w:rPr>
          <w:rFonts w:ascii="Times New Roman" w:hAnsi="Times New Roman"/>
          <w:sz w:val="18"/>
        </w:rPr>
        <w:t>中国民用航空局</w:t>
      </w:r>
      <w:r>
        <w:rPr>
          <w:rFonts w:eastAsia="宋体"/>
          <w:sz w:val="18"/>
        </w:rPr>
        <w:t>, 2026.</w:t>
      </w:r>
    </w:p>
    <w:p>
      <w:pPr>
        <w:pStyle w:val="Normal"/>
        <w:spacing w:lineRule="auto" w:line="288" w:before="0" w:after="0"/>
        <w:ind w:hanging="360" w:start="360"/>
        <w:rPr/>
      </w:pPr>
      <w:r>
        <w:rPr>
          <w:rFonts w:eastAsia="宋体"/>
          <w:sz w:val="18"/>
        </w:rPr>
        <w:t xml:space="preserve">[3] </w:t>
      </w:r>
      <w:r>
        <w:rPr>
          <w:rFonts w:ascii="Times New Roman" w:hAnsi="Times New Roman"/>
          <w:sz w:val="18"/>
        </w:rPr>
        <w:t>中国民用航空局</w:t>
      </w:r>
      <w:r>
        <w:rPr>
          <w:rFonts w:eastAsia="宋体"/>
          <w:sz w:val="18"/>
        </w:rPr>
        <w:t>. 2023</w:t>
      </w:r>
      <w:r>
        <w:rPr>
          <w:rFonts w:ascii="Times New Roman" w:hAnsi="Times New Roman"/>
          <w:sz w:val="18"/>
        </w:rPr>
        <w:t>年全国民用运输机场生产统计公报</w:t>
      </w:r>
      <w:r>
        <w:rPr>
          <w:rFonts w:eastAsia="宋体"/>
          <w:sz w:val="18"/>
        </w:rPr>
        <w:t xml:space="preserve">[R]. </w:t>
      </w:r>
      <w:r>
        <w:rPr>
          <w:rFonts w:ascii="Times New Roman" w:hAnsi="Times New Roman"/>
          <w:sz w:val="18"/>
        </w:rPr>
        <w:t>北京</w:t>
      </w:r>
      <w:r>
        <w:rPr>
          <w:rFonts w:eastAsia="宋体"/>
          <w:sz w:val="18"/>
        </w:rPr>
        <w:t xml:space="preserve">: </w:t>
      </w:r>
      <w:r>
        <w:rPr>
          <w:rFonts w:ascii="Times New Roman" w:hAnsi="Times New Roman"/>
          <w:sz w:val="18"/>
        </w:rPr>
        <w:t>中国民用航空局</w:t>
      </w:r>
      <w:r>
        <w:rPr>
          <w:rFonts w:eastAsia="宋体"/>
          <w:sz w:val="18"/>
        </w:rPr>
        <w:t>, 2024.</w:t>
      </w:r>
    </w:p>
    <w:p>
      <w:pPr>
        <w:pStyle w:val="Normal"/>
        <w:spacing w:lineRule="auto" w:line="288" w:before="0" w:after="0"/>
        <w:ind w:hanging="360" w:start="360"/>
        <w:rPr/>
      </w:pPr>
      <w:r>
        <w:rPr>
          <w:rFonts w:eastAsia="宋体"/>
          <w:sz w:val="18"/>
        </w:rPr>
        <w:t xml:space="preserve">[4] </w:t>
      </w:r>
      <w:r>
        <w:rPr>
          <w:rFonts w:ascii="Times New Roman" w:hAnsi="Times New Roman"/>
          <w:sz w:val="18"/>
        </w:rPr>
        <w:t>中国民用航空局</w:t>
      </w:r>
      <w:r>
        <w:rPr>
          <w:rFonts w:eastAsia="宋体"/>
          <w:sz w:val="18"/>
        </w:rPr>
        <w:t>. 2022</w:t>
      </w:r>
      <w:r>
        <w:rPr>
          <w:rFonts w:ascii="Times New Roman" w:hAnsi="Times New Roman"/>
          <w:sz w:val="18"/>
        </w:rPr>
        <w:t>年全国民用运输机场生产统计公报</w:t>
      </w:r>
      <w:r>
        <w:rPr>
          <w:rFonts w:eastAsia="宋体"/>
          <w:sz w:val="18"/>
        </w:rPr>
        <w:t xml:space="preserve">[R]. </w:t>
      </w:r>
      <w:r>
        <w:rPr>
          <w:rFonts w:ascii="Times New Roman" w:hAnsi="Times New Roman"/>
          <w:sz w:val="18"/>
        </w:rPr>
        <w:t>北京</w:t>
      </w:r>
      <w:r>
        <w:rPr>
          <w:rFonts w:eastAsia="宋体"/>
          <w:sz w:val="18"/>
        </w:rPr>
        <w:t xml:space="preserve">: </w:t>
      </w:r>
      <w:r>
        <w:rPr>
          <w:rFonts w:ascii="Times New Roman" w:hAnsi="Times New Roman"/>
          <w:sz w:val="18"/>
        </w:rPr>
        <w:t>中国民用航空局</w:t>
      </w:r>
      <w:r>
        <w:rPr>
          <w:rFonts w:eastAsia="宋体"/>
          <w:sz w:val="18"/>
        </w:rPr>
        <w:t>, 2024.</w:t>
      </w:r>
    </w:p>
    <w:p>
      <w:pPr>
        <w:pStyle w:val="Normal"/>
        <w:spacing w:lineRule="auto" w:line="288" w:before="0" w:after="0"/>
        <w:ind w:hanging="360" w:start="360"/>
        <w:rPr/>
      </w:pPr>
      <w:r>
        <w:rPr>
          <w:rFonts w:eastAsia="宋体"/>
          <w:sz w:val="18"/>
        </w:rPr>
        <w:t xml:space="preserve">[5] </w:t>
      </w:r>
      <w:r>
        <w:rPr>
          <w:rFonts w:ascii="Times New Roman" w:hAnsi="Times New Roman"/>
          <w:sz w:val="18"/>
        </w:rPr>
        <w:t>中国民用航空局</w:t>
      </w:r>
      <w:r>
        <w:rPr>
          <w:rFonts w:eastAsia="宋体"/>
          <w:sz w:val="18"/>
        </w:rPr>
        <w:t>. 2020</w:t>
      </w:r>
      <w:r>
        <w:rPr>
          <w:rFonts w:ascii="Times New Roman" w:hAnsi="Times New Roman"/>
          <w:sz w:val="18"/>
        </w:rPr>
        <w:t>年民航机场生产统计公报</w:t>
      </w:r>
      <w:r>
        <w:rPr>
          <w:rFonts w:eastAsia="宋体"/>
          <w:sz w:val="18"/>
        </w:rPr>
        <w:t xml:space="preserve">[R]. </w:t>
      </w:r>
      <w:r>
        <w:rPr>
          <w:rFonts w:ascii="Times New Roman" w:hAnsi="Times New Roman"/>
          <w:sz w:val="18"/>
        </w:rPr>
        <w:t>北京</w:t>
      </w:r>
      <w:r>
        <w:rPr>
          <w:rFonts w:eastAsia="宋体"/>
          <w:sz w:val="18"/>
        </w:rPr>
        <w:t xml:space="preserve">: </w:t>
      </w:r>
      <w:r>
        <w:rPr>
          <w:rFonts w:ascii="Times New Roman" w:hAnsi="Times New Roman"/>
          <w:sz w:val="18"/>
        </w:rPr>
        <w:t>中国民用航空局</w:t>
      </w:r>
      <w:r>
        <w:rPr>
          <w:rFonts w:eastAsia="宋体"/>
          <w:sz w:val="18"/>
        </w:rPr>
        <w:t>, 2021.</w:t>
      </w:r>
    </w:p>
    <w:p>
      <w:pPr>
        <w:pStyle w:val="Normal"/>
        <w:spacing w:lineRule="auto" w:line="288" w:before="0" w:after="0"/>
        <w:ind w:hanging="360" w:start="360"/>
        <w:rPr/>
      </w:pPr>
      <w:r>
        <w:rPr>
          <w:rFonts w:eastAsia="宋体"/>
          <w:sz w:val="18"/>
        </w:rPr>
        <w:t xml:space="preserve">[6] </w:t>
      </w:r>
      <w:r>
        <w:rPr>
          <w:rFonts w:ascii="Times New Roman" w:hAnsi="Times New Roman"/>
          <w:sz w:val="18"/>
        </w:rPr>
        <w:t>中国民用航空局</w:t>
      </w:r>
      <w:r>
        <w:rPr>
          <w:rFonts w:eastAsia="宋体"/>
          <w:sz w:val="18"/>
        </w:rPr>
        <w:t>. 2019</w:t>
      </w:r>
      <w:r>
        <w:rPr>
          <w:rFonts w:ascii="Times New Roman" w:hAnsi="Times New Roman"/>
          <w:sz w:val="18"/>
        </w:rPr>
        <w:t>年民航机场生产统计公报</w:t>
      </w:r>
      <w:r>
        <w:rPr>
          <w:rFonts w:eastAsia="宋体"/>
          <w:sz w:val="18"/>
        </w:rPr>
        <w:t xml:space="preserve">[R]. </w:t>
      </w:r>
      <w:r>
        <w:rPr>
          <w:rFonts w:ascii="Times New Roman" w:hAnsi="Times New Roman"/>
          <w:sz w:val="18"/>
        </w:rPr>
        <w:t>北京</w:t>
      </w:r>
      <w:r>
        <w:rPr>
          <w:rFonts w:eastAsia="宋体"/>
          <w:sz w:val="18"/>
        </w:rPr>
        <w:t xml:space="preserve">: </w:t>
      </w:r>
      <w:r>
        <w:rPr>
          <w:rFonts w:ascii="Times New Roman" w:hAnsi="Times New Roman"/>
          <w:sz w:val="18"/>
        </w:rPr>
        <w:t>中国民用航空局</w:t>
      </w:r>
      <w:r>
        <w:rPr>
          <w:rFonts w:eastAsia="宋体"/>
          <w:sz w:val="18"/>
        </w:rPr>
        <w:t>, 2020.</w:t>
      </w:r>
    </w:p>
    <w:p>
      <w:pPr>
        <w:pStyle w:val="Normal"/>
        <w:spacing w:lineRule="auto" w:line="288" w:before="0" w:after="0"/>
        <w:ind w:hanging="360" w:start="360"/>
        <w:rPr/>
      </w:pPr>
      <w:r>
        <w:rPr>
          <w:rFonts w:eastAsia="宋体"/>
          <w:sz w:val="18"/>
        </w:rPr>
        <w:t xml:space="preserve">[7] </w:t>
      </w:r>
      <w:r>
        <w:rPr>
          <w:rFonts w:ascii="Times New Roman" w:hAnsi="Times New Roman"/>
          <w:sz w:val="18"/>
        </w:rPr>
        <w:t>国家发展改革委</w:t>
      </w:r>
      <w:r>
        <w:rPr>
          <w:rFonts w:eastAsia="宋体"/>
          <w:sz w:val="18"/>
        </w:rPr>
        <w:t xml:space="preserve">, </w:t>
      </w:r>
      <w:r>
        <w:rPr>
          <w:rFonts w:ascii="Times New Roman" w:hAnsi="Times New Roman"/>
          <w:sz w:val="18"/>
        </w:rPr>
        <w:t>中国民用航空局</w:t>
      </w:r>
      <w:r>
        <w:rPr>
          <w:rFonts w:eastAsia="宋体"/>
          <w:sz w:val="18"/>
        </w:rPr>
        <w:t xml:space="preserve">. </w:t>
      </w:r>
      <w:r>
        <w:rPr>
          <w:rFonts w:ascii="Times New Roman" w:hAnsi="Times New Roman"/>
          <w:sz w:val="18"/>
        </w:rPr>
        <w:t>全国民用运输机场布局规划</w:t>
      </w:r>
      <w:r>
        <w:rPr>
          <w:rFonts w:eastAsia="宋体"/>
          <w:sz w:val="18"/>
        </w:rPr>
        <w:t xml:space="preserve">: </w:t>
      </w:r>
      <w:r>
        <w:rPr>
          <w:rFonts w:ascii="Times New Roman" w:hAnsi="Times New Roman"/>
          <w:sz w:val="18"/>
        </w:rPr>
        <w:t>发改基础〔</w:t>
      </w:r>
      <w:r>
        <w:rPr>
          <w:rFonts w:eastAsia="宋体"/>
          <w:sz w:val="18"/>
        </w:rPr>
        <w:t>2017</w:t>
      </w:r>
      <w:r>
        <w:rPr>
          <w:rFonts w:ascii="Times New Roman" w:hAnsi="Times New Roman"/>
          <w:sz w:val="18"/>
        </w:rPr>
        <w:t>〕</w:t>
      </w:r>
      <w:r>
        <w:rPr>
          <w:rFonts w:eastAsia="宋体"/>
          <w:sz w:val="18"/>
        </w:rPr>
        <w:t>290</w:t>
      </w:r>
      <w:r>
        <w:rPr>
          <w:rFonts w:ascii="Times New Roman" w:hAnsi="Times New Roman"/>
          <w:sz w:val="18"/>
        </w:rPr>
        <w:t>号</w:t>
      </w:r>
      <w:r>
        <w:rPr>
          <w:rFonts w:eastAsia="宋体"/>
          <w:sz w:val="18"/>
        </w:rPr>
        <w:t xml:space="preserve">[Z]. </w:t>
      </w:r>
      <w:r>
        <w:rPr>
          <w:rFonts w:ascii="Times New Roman" w:hAnsi="Times New Roman"/>
          <w:sz w:val="18"/>
        </w:rPr>
        <w:t>北京</w:t>
      </w:r>
      <w:r>
        <w:rPr>
          <w:rFonts w:eastAsia="宋体"/>
          <w:sz w:val="18"/>
        </w:rPr>
        <w:t xml:space="preserve">: </w:t>
      </w:r>
      <w:r>
        <w:rPr>
          <w:rFonts w:ascii="Times New Roman" w:hAnsi="Times New Roman"/>
          <w:sz w:val="18"/>
        </w:rPr>
        <w:t>国家发展改革委</w:t>
      </w:r>
      <w:r>
        <w:rPr>
          <w:rFonts w:eastAsia="宋体"/>
          <w:sz w:val="18"/>
        </w:rPr>
        <w:t>, 2017.</w:t>
      </w:r>
    </w:p>
    <w:sectPr>
      <w:footerReference w:type="even" r:id="rId6"/>
      <w:footerReference w:type="default" r:id="rId7"/>
      <w:footerReference w:type="first" r:id="rId8"/>
      <w:type w:val="nextPage"/>
      <w:pgSz w:w="11906" w:h="16838"/>
      <w:pgMar w:left="1417" w:right="1417"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fldChar w:fldCharType="begin"/>
    </w:r>
    <w:r>
      <w:rPr>
        <w:sz w:val="18"/>
      </w:rPr>
      <w:instrText xml:space="preserve"> PAGE </w:instrText>
    </w:r>
    <w:r>
      <w:rPr>
        <w:sz w:val="18"/>
      </w:rPr>
      <w:fldChar w:fldCharType="separate"/>
    </w:r>
    <w:r>
      <w:rPr>
        <w:sz w:val="18"/>
      </w:rPr>
      <w:t>8</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fldChar w:fldCharType="begin"/>
    </w:r>
    <w:r>
      <w:rPr>
        <w:sz w:val="18"/>
      </w:rPr>
      <w:instrText xml:space="preserve"> PAGE </w:instrText>
    </w:r>
    <w:r>
      <w:rPr>
        <w:sz w:val="18"/>
      </w:rPr>
      <w:fldChar w:fldCharType="separate"/>
    </w:r>
    <w:r>
      <w:rPr>
        <w:sz w:val="18"/>
      </w:rPr>
      <w:t>8</w:t>
    </w:r>
    <w:r>
      <w:rPr>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宋体"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qFormat="1"/>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qFormat="1"/>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360" w:before="0" w:after="0"/>
      <w:ind w:firstLine="420"/>
      <w:jc w:val="both"/>
    </w:pPr>
    <w:rPr>
      <w:rFonts w:ascii="Times New Roman" w:hAnsi="Times New Roman" w:eastAsia="宋体" w:cs="宋体" w:cstheme="minorBidi"/>
      <w:color w:val="auto"/>
      <w:kern w:val="0"/>
      <w:sz w:val="21"/>
      <w:szCs w:val="22"/>
      <w:lang w:val="en-US" w:eastAsia="en-US" w:bidi="ar-SA"/>
    </w:rPr>
  </w:style>
  <w:style w:type="paragraph" w:styleId="Heading1">
    <w:name w:val="heading 1"/>
    <w:basedOn w:val="Normal"/>
    <w:next w:val="Normal"/>
    <w:link w:val="Heading1Char"/>
    <w:uiPriority w:val="9"/>
    <w:qFormat/>
    <w:pPr>
      <w:keepNext w:val="true"/>
      <w:keepLines/>
      <w:spacing w:lineRule="auto" w:line="360" w:before="240" w:after="120"/>
      <w:ind w:hanging="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pPr>
      <w:keepNext w:val="true"/>
      <w:keepLines/>
      <w:spacing w:lineRule="auto" w:line="360" w:before="120" w:after="60"/>
      <w:ind w:hanging="0"/>
      <w:outlineLvl w:val="1"/>
    </w:pPr>
    <w:rPr>
      <w:rFonts w:ascii="Times New Roman" w:hAnsi="Times New Roman" w:eastAsia="黑体"/>
      <w:b/>
      <w:bCs/>
      <w:color w:val="000000"/>
      <w:sz w:val="21"/>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ＭＳ ゴシック" w:cs="宋体"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ＭＳ ゴシック" w:cs="宋体"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ＭＳ ゴシック" w:cs="宋体" w:asciiTheme="majorHAnsi" w:cstheme="majorBidi" w:eastAsiaTheme="majorEastAsia" w:hAnsiTheme="majorHAns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ＭＳ ゴシック" w:cs="宋体" w:asciiTheme="majorHAnsi" w:cstheme="majorBidi" w:eastAsiaTheme="majorEastAsia" w:hAnsiTheme="majorHAns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ＭＳ ゴシック" w:cs="宋体"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ＭＳ ゴシック" w:cs="宋体"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ＭＳ ゴシック" w:cs="宋体"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DefaultParagraphFont" w:default="1">
    <w:name w:val="Default Paragraph Font"/>
    <w:uiPriority w:val="1"/>
    <w:semiHidden/>
    <w:unhideWhenUse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eaderChar" w:customStyle="1">
    <w:name w:val="Header Char"/>
    <w:basedOn w:val="DefaultParagraphFont"/>
    <w:uiPriority w:val="99"/>
    <w:rPr/>
  </w:style>
  <w:style w:type="character" w:styleId="FooterChar" w:customStyle="1">
    <w:name w:val="Footer Char"/>
    <w:basedOn w:val="DefaultParagraphFont"/>
    <w:uiPriority w:val="99"/>
    <w:rPr/>
  </w:style>
  <w:style w:type="character" w:styleId="Heading1Char" w:customStyle="1">
    <w:name w:val="Heading 1 Char"/>
    <w:basedOn w:val="DefaultParagraphFont"/>
    <w:uiPriority w:val="9"/>
    <w:rPr>
      <w:rFonts w:ascii="Calibri" w:hAnsi="Calibri" w:eastAsia="ＭＳ ゴシック" w:cs="宋体" w:asciiTheme="majorHAnsi" w:cstheme="majorBidi" w:eastAsiaTheme="majorEastAsia" w:hAnsiTheme="majorHAnsi"/>
      <w:b/>
      <w:bCs/>
      <w:color w:themeColor="accent1" w:themeShade="bf" w:val="376092"/>
      <w:sz w:val="28"/>
      <w:szCs w:val="28"/>
    </w:rPr>
  </w:style>
  <w:style w:type="character" w:styleId="Heading2Char" w:customStyle="1">
    <w:name w:val="Heading 2 Char"/>
    <w:basedOn w:val="DefaultParagraphFont"/>
    <w:uiPriority w:val="9"/>
    <w:rPr>
      <w:rFonts w:ascii="Calibri" w:hAnsi="Calibri" w:eastAsia="ＭＳ ゴシック" w:cs="宋体"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Pr>
      <w:rFonts w:ascii="Calibri" w:hAnsi="Calibri" w:eastAsia="ＭＳ ゴシック" w:cs="宋体" w:asciiTheme="majorHAnsi" w:cstheme="majorBidi" w:eastAsiaTheme="majorEastAsia" w:hAnsiTheme="majorHAnsi"/>
      <w:b/>
      <w:bCs/>
      <w:color w:themeColor="accent1" w:val="4F81BD"/>
    </w:rPr>
  </w:style>
  <w:style w:type="character" w:styleId="TitleChar" w:customStyle="1">
    <w:name w:val="Title Char"/>
    <w:basedOn w:val="DefaultParagraphFont"/>
    <w:uiPriority w:val="10"/>
    <w:rPr>
      <w:rFonts w:ascii="Calibri" w:hAnsi="Calibri" w:eastAsia="ＭＳ ゴシック" w:cs="宋体"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uiPriority w:val="11"/>
    <w:rPr>
      <w:rFonts w:ascii="Calibri" w:hAnsi="Calibri" w:eastAsia="ＭＳ ゴシック" w:cs="宋体"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Pr/>
  </w:style>
  <w:style w:type="character" w:styleId="BodyText2Char" w:customStyle="1">
    <w:name w:val="Body Text 2 Char"/>
    <w:basedOn w:val="DefaultParagraphFont"/>
    <w:link w:val="BodyText2"/>
    <w:uiPriority w:val="99"/>
    <w:rPr/>
  </w:style>
  <w:style w:type="character" w:styleId="BodyText3Char" w:customStyle="1">
    <w:name w:val="Body Text 3 Char"/>
    <w:basedOn w:val="DefaultParagraphFont"/>
    <w:link w:val="BodyText3"/>
    <w:uiPriority w:val="99"/>
    <w:rPr>
      <w:sz w:val="16"/>
      <w:szCs w:val="16"/>
    </w:rPr>
  </w:style>
  <w:style w:type="character" w:styleId="MacroTextChar" w:customStyle="1">
    <w:name w:val="Macro Text Char"/>
    <w:basedOn w:val="DefaultParagraphFont"/>
    <w:link w:val="MacroText"/>
    <w:uiPriority w:val="99"/>
    <w:rPr>
      <w:rFonts w:ascii="Courier" w:hAnsi="Courier"/>
      <w:sz w:val="20"/>
      <w:szCs w:val="20"/>
    </w:rPr>
  </w:style>
  <w:style w:type="character" w:styleId="QuoteChar" w:customStyle="1">
    <w:name w:val="Quote Char"/>
    <w:basedOn w:val="DefaultParagraphFont"/>
    <w:link w:val="Quote"/>
    <w:uiPriority w:val="29"/>
    <w:rPr>
      <w:i/>
      <w:iCs/>
      <w:color w:themeColor="dark1" w:val="000000"/>
    </w:rPr>
  </w:style>
  <w:style w:type="character" w:styleId="Heading4Char" w:customStyle="1">
    <w:name w:val="Heading 4 Char"/>
    <w:basedOn w:val="DefaultParagraphFont"/>
    <w:uiPriority w:val="9"/>
    <w:semiHidden/>
    <w:rPr>
      <w:rFonts w:ascii="Calibri" w:hAnsi="Calibri" w:eastAsia="ＭＳ ゴシック" w:cs="宋体"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Pr>
      <w:rFonts w:ascii="Calibri" w:hAnsi="Calibri" w:eastAsia="ＭＳ ゴシック" w:cs="宋体" w:asciiTheme="majorHAnsi" w:cstheme="majorBidi" w:eastAsiaTheme="majorEastAsia" w:hAnsiTheme="majorHAnsi"/>
      <w:color w:themeColor="accent1" w:themeShade="80" w:val="254061"/>
    </w:rPr>
  </w:style>
  <w:style w:type="character" w:styleId="Heading6Char" w:customStyle="1">
    <w:name w:val="Heading 6 Char"/>
    <w:basedOn w:val="DefaultParagraphFont"/>
    <w:uiPriority w:val="9"/>
    <w:semiHidden/>
    <w:qFormat/>
    <w:rPr>
      <w:rFonts w:ascii="Calibri" w:hAnsi="Calibri" w:eastAsia="ＭＳ ゴシック" w:cs="宋体" w:asciiTheme="majorHAnsi" w:cstheme="majorBidi" w:eastAsiaTheme="majorEastAsia" w:hAnsiTheme="majorHAnsi"/>
      <w:i/>
      <w:iCs/>
      <w:color w:themeColor="accent1" w:themeShade="80" w:val="254061"/>
    </w:rPr>
  </w:style>
  <w:style w:type="character" w:styleId="Heading7Char" w:customStyle="1">
    <w:name w:val="Heading 7 Char"/>
    <w:basedOn w:val="DefaultParagraphFont"/>
    <w:uiPriority w:val="9"/>
    <w:semiHidden/>
    <w:qFormat/>
    <w:rPr>
      <w:rFonts w:ascii="Calibri" w:hAnsi="Calibri" w:eastAsia="ＭＳ ゴシック" w:cs="宋体"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character" w:styleId="Heading8Char" w:customStyle="1">
    <w:name w:val="Heading 8 Char"/>
    <w:basedOn w:val="DefaultParagraphFont"/>
    <w:uiPriority w:val="9"/>
    <w:semiHidden/>
    <w:qFormat/>
    <w:rPr>
      <w:rFonts w:ascii="Calibri" w:hAnsi="Calibri" w:eastAsia="ＭＳ ゴシック" w:cs="宋体"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Pr>
      <w:rFonts w:ascii="Calibri" w:hAnsi="Calibri" w:eastAsia="ＭＳ ゴシック" w:cs="宋体"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IntenseQuoteChar" w:customStyle="1">
    <w:name w:val="Intense Quote Char"/>
    <w:basedOn w:val="DefaultParagraphFont"/>
    <w:link w:val="IntenseQuote"/>
    <w:uiPriority w:val="30"/>
    <w:qFormat/>
    <w:rPr>
      <w:b/>
      <w:bCs/>
      <w:i/>
      <w:iCs/>
      <w:color w:themeColor="accent1" w:val="4F81BD"/>
    </w:rPr>
  </w:style>
  <w:style w:type="character" w:styleId="SubtleEmphasis" w:customStyle="1">
    <w:name w:val="Subtle Emphasis"/>
    <w:basedOn w:val="DefaultParagraphFont"/>
    <w:uiPriority w:val="19"/>
    <w:qFormat/>
    <w:rPr>
      <w:i/>
      <w:iCs/>
      <w:color w:themeColor="dark1" w:themeTint="fe" w:val="808080"/>
      <w14:textFill>
        <w14:solidFill>
          <w14:schemeClr w14:val="dk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rPr>
  </w:style>
  <w:style w:type="character" w:styleId="SubtleReference" w:customStyle="1">
    <w:name w:val="Subtle Reference"/>
    <w:basedOn w:val="DefaultParagraphFont"/>
    <w:uiPriority w:val="31"/>
    <w:qFormat/>
    <w:rPr>
      <w:smallCaps/>
      <w:color w:themeColor="accent2" w:val="C0504D"/>
      <w:u w:val="single"/>
    </w:rPr>
  </w:style>
  <w:style w:type="character" w:styleId="IntenseReference" w:customStyle="1">
    <w:name w:val="Intense Reference"/>
    <w:basedOn w:val="DefaultParagraphFont"/>
    <w:uiPriority w:val="32"/>
    <w:qFormat/>
    <w:rPr>
      <w:b/>
      <w:bCs/>
      <w:smallCaps/>
      <w:color w:themeColor="accent2" w:val="C0504D"/>
      <w:spacing w:val="5"/>
      <w:u w:val="single"/>
    </w:rPr>
  </w:style>
  <w:style w:type="character" w:styleId="BookTitle" w:customStyle="1">
    <w:name w:val="Book Title"/>
    <w:basedOn w:val="DefaultParagraphFont"/>
    <w:uiPriority w:val="33"/>
    <w:qFormat/>
    <w:rPr>
      <w:b/>
      <w:bCs/>
      <w:smallCaps/>
      <w:spacing w:val="5"/>
    </w:rPr>
  </w:style>
  <w:style w:type="paragraph" w:styleId="Style5">
    <w:name w:val="标题样式"/>
    <w:basedOn w:val="Normal"/>
    <w:next w:val="BodyTex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pPr>
      <w:spacing w:before="0" w:after="120"/>
    </w:pPr>
    <w:rPr/>
  </w:style>
  <w:style w:type="paragraph" w:styleId="List">
    <w:name w:val="List"/>
    <w:basedOn w:val="Normal"/>
    <w:uiPriority w:val="99"/>
    <w:unhideWhenUsed/>
    <w:qFormat/>
    <w:pPr>
      <w:spacing w:before="0" w:after="0"/>
      <w:ind w:hanging="360" w:start="360"/>
      <w:contextualSpacing/>
    </w:pPr>
    <w:rPr/>
  </w:style>
  <w:style w:type="paragraph" w:styleId="Caption">
    <w:name w:val="caption"/>
    <w:basedOn w:val="Normal"/>
    <w:next w:val="Normal"/>
    <w:uiPriority w:val="35"/>
    <w:semiHidden/>
    <w:unhideWhenUsed/>
    <w:qFormat/>
    <w:pPr>
      <w:spacing w:lineRule="auto" w:line="288" w:before="80" w:after="80"/>
      <w:ind w:hanging="0"/>
      <w:jc w:val="center"/>
    </w:pPr>
    <w:rPr>
      <w:rFonts w:ascii="Times New Roman" w:hAnsi="Times New Roman" w:eastAsia="黑体"/>
      <w:b/>
      <w:bCs/>
      <w:color w:val="000000"/>
      <w:sz w:val="18"/>
      <w:szCs w:val="18"/>
    </w:rPr>
  </w:style>
  <w:style w:type="paragraph" w:styleId="Style6">
    <w:name w:val="索引"/>
    <w:basedOn w:val="Normal"/>
    <w:pPr>
      <w:suppressLineNumbers/>
    </w:pPr>
    <w:rPr>
      <w:rFonts w:cs="Arial"/>
    </w:rPr>
  </w:style>
  <w:style w:type="paragraph" w:styleId="user">
    <w:name w:val="标题样式 (user)"/>
    <w:basedOn w:val="Normal"/>
    <w:next w:val="BodyText"/>
    <w:pPr>
      <w:keepNext w:val="true"/>
      <w:spacing w:before="240" w:after="120"/>
    </w:pPr>
    <w:rPr>
      <w:rFonts w:ascii="Liberation Sans" w:hAnsi="Liberation Sans" w:eastAsia="Noto Sans SC" w:cs="Arial"/>
      <w:sz w:val="28"/>
      <w:szCs w:val="28"/>
    </w:rPr>
  </w:style>
  <w:style w:type="paragraph" w:styleId="user1">
    <w:name w:val="索引 (user)"/>
    <w:basedOn w:val="Normal"/>
    <w:pPr>
      <w:suppressLineNumbers/>
    </w:pPr>
    <w:rPr>
      <w:rFonts w:cs="Arial"/>
    </w:rPr>
  </w:style>
  <w:style w:type="paragraph" w:styleId="MacroText">
    <w:name w:val="macro"/>
    <w:link w:val="MacroTextChar"/>
    <w:uiPriority w:val="99"/>
    <w:unhideWhenUse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宋体" w:cstheme="minorBidi" w:eastAsiaTheme="minorEastAsia"/>
      <w:color w:val="auto"/>
      <w:kern w:val="0"/>
      <w:sz w:val="20"/>
      <w:szCs w:val="20"/>
      <w:lang w:val="en-US" w:eastAsia="en-US" w:bidi="ar-SA"/>
    </w:rPr>
  </w:style>
  <w:style w:type="paragraph" w:styleId="List3">
    <w:name w:val="List 3"/>
    <w:basedOn w:val="Normal"/>
    <w:uiPriority w:val="99"/>
    <w:unhideWhenUsed/>
    <w:pPr>
      <w:spacing w:before="0" w:after="0"/>
      <w:ind w:hanging="360" w:start="1080"/>
      <w:contextualSpacing/>
    </w:pPr>
    <w:rPr/>
  </w:style>
  <w:style w:type="paragraph" w:styleId="ListNumber2">
    <w:name w:val="List Number 2"/>
    <w:basedOn w:val="Normal"/>
    <w:uiPriority w:val="99"/>
    <w:unhideWhenUsed/>
    <w:pPr>
      <w:numPr>
        <w:ilvl w:val="0"/>
        <w:numId w:val="1"/>
      </w:numPr>
      <w:spacing w:before="0" w:after="0"/>
      <w:contextualSpacing/>
    </w:pPr>
    <w:rPr/>
  </w:style>
  <w:style w:type="paragraph" w:styleId="ListNumber">
    <w:name w:val="List Number"/>
    <w:basedOn w:val="Normal"/>
    <w:uiPriority w:val="99"/>
    <w:unhideWhenUsed/>
    <w:pPr>
      <w:numPr>
        <w:ilvl w:val="0"/>
        <w:numId w:val="2"/>
      </w:numPr>
      <w:spacing w:before="0" w:after="0"/>
      <w:contextualSpacing/>
    </w:pPr>
    <w:rPr/>
  </w:style>
  <w:style w:type="paragraph" w:styleId="ListBullet">
    <w:name w:val="List Bullet"/>
    <w:basedOn w:val="Normal"/>
    <w:uiPriority w:val="99"/>
    <w:unhideWhenUsed/>
    <w:pPr>
      <w:numPr>
        <w:ilvl w:val="0"/>
        <w:numId w:val="3"/>
      </w:numPr>
      <w:spacing w:before="0" w:after="0"/>
      <w:contextualSpacing/>
    </w:pPr>
    <w:rPr/>
  </w:style>
  <w:style w:type="paragraph" w:styleId="BodyText3">
    <w:name w:val="Body Text 3"/>
    <w:basedOn w:val="Normal"/>
    <w:link w:val="BodyText3Char"/>
    <w:uiPriority w:val="99"/>
    <w:unhideWhenUsed/>
    <w:pPr>
      <w:spacing w:before="0" w:after="120"/>
    </w:pPr>
    <w:rPr>
      <w:sz w:val="16"/>
      <w:szCs w:val="16"/>
    </w:rPr>
  </w:style>
  <w:style w:type="paragraph" w:styleId="ListBullet3">
    <w:name w:val="List Bullet 3"/>
    <w:basedOn w:val="Normal"/>
    <w:uiPriority w:val="99"/>
    <w:unhideWhenUsed/>
    <w:pPr>
      <w:numPr>
        <w:ilvl w:val="0"/>
        <w:numId w:val="4"/>
      </w:numPr>
      <w:spacing w:before="0" w:after="0"/>
      <w:contextualSpacing/>
    </w:pPr>
    <w:rPr/>
  </w:style>
  <w:style w:type="paragraph" w:styleId="ListNumber3">
    <w:name w:val="List Number 3"/>
    <w:basedOn w:val="Normal"/>
    <w:uiPriority w:val="99"/>
    <w:unhideWhenUsed/>
    <w:qFormat/>
    <w:pPr>
      <w:numPr>
        <w:ilvl w:val="0"/>
        <w:numId w:val="5"/>
      </w:numPr>
      <w:spacing w:before="0" w:after="0"/>
      <w:contextualSpacing/>
    </w:pPr>
    <w:rPr/>
  </w:style>
  <w:style w:type="paragraph" w:styleId="List2">
    <w:name w:val="List 2"/>
    <w:basedOn w:val="Normal"/>
    <w:uiPriority w:val="99"/>
    <w:unhideWhenUsed/>
    <w:pPr>
      <w:spacing w:before="0" w:after="0"/>
      <w:ind w:hanging="360" w:start="720"/>
      <w:contextualSpacing/>
    </w:pPr>
    <w:rPr/>
  </w:style>
  <w:style w:type="paragraph" w:styleId="ListContinue">
    <w:name w:val="List Continue"/>
    <w:basedOn w:val="Normal"/>
    <w:uiPriority w:val="99"/>
    <w:unhideWhenUsed/>
    <w:pPr>
      <w:spacing w:before="0" w:after="120"/>
      <w:ind w:start="360"/>
      <w:contextualSpacing/>
    </w:pPr>
    <w:rPr/>
  </w:style>
  <w:style w:type="paragraph" w:styleId="ListBullet2">
    <w:name w:val="List Bullet 2"/>
    <w:basedOn w:val="Normal"/>
    <w:uiPriority w:val="99"/>
    <w:unhideWhenUsed/>
    <w:pPr>
      <w:numPr>
        <w:ilvl w:val="0"/>
        <w:numId w:val="6"/>
      </w:numPr>
      <w:spacing w:before="0" w:after="0"/>
      <w:contextualSpacing/>
    </w:pPr>
    <w:rPr/>
  </w:style>
  <w:style w:type="paragraph" w:styleId="user2">
    <w:name w:val="页眉与页脚 (user)"/>
    <w:basedOn w:val="Normal"/>
    <w:pPr/>
    <w:rPr/>
  </w:style>
  <w:style w:type="paragraph" w:styleId="Style7">
    <w:name w:val="页眉与页脚"/>
    <w:basedOn w:val="Normal"/>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Subtitle">
    <w:name w:val="Subtitle"/>
    <w:basedOn w:val="Normal"/>
    <w:next w:val="Normal"/>
    <w:link w:val="SubtitleChar"/>
    <w:uiPriority w:val="11"/>
    <w:qFormat/>
    <w:pPr/>
    <w:rPr>
      <w:rFonts w:ascii="Calibri" w:hAnsi="Calibri" w:eastAsia="ＭＳ ゴシック" w:cs="宋体" w:asciiTheme="majorHAnsi" w:cstheme="majorBidi" w:eastAsiaTheme="majorEastAsia" w:hAnsiTheme="majorHAnsi"/>
      <w:i/>
      <w:iCs/>
      <w:color w:themeColor="accent1" w:val="4F81BD"/>
      <w:spacing w:val="15"/>
      <w:sz w:val="24"/>
      <w:szCs w:val="24"/>
    </w:rPr>
  </w:style>
  <w:style w:type="paragraph" w:styleId="BodyText2">
    <w:name w:val="Body Text 2"/>
    <w:basedOn w:val="Normal"/>
    <w:link w:val="BodyText2Char"/>
    <w:uiPriority w:val="99"/>
    <w:unhideWhenUsed/>
    <w:pPr>
      <w:spacing w:lineRule="auto" w:line="480" w:before="0" w:after="120"/>
    </w:pPr>
    <w:rPr/>
  </w:style>
  <w:style w:type="paragraph" w:styleId="ListContinue2">
    <w:name w:val="List Continue 2"/>
    <w:basedOn w:val="Normal"/>
    <w:uiPriority w:val="99"/>
    <w:unhideWhenUsed/>
    <w:pPr>
      <w:spacing w:before="0" w:after="120"/>
      <w:ind w:start="720"/>
      <w:contextualSpacing/>
    </w:pPr>
    <w:rPr/>
  </w:style>
  <w:style w:type="paragraph" w:styleId="ListContinue3">
    <w:name w:val="List Continue 3"/>
    <w:basedOn w:val="Normal"/>
    <w:uiPriority w:val="99"/>
    <w:unhideWhenUsed/>
    <w:pPr>
      <w:spacing w:before="0" w:after="120"/>
      <w:ind w:start="1080"/>
      <w:contextualSpacing/>
    </w:pPr>
    <w:rPr/>
  </w:style>
  <w:style w:type="paragraph" w:styleId="Title">
    <w:name w:val="Title"/>
    <w:basedOn w:val="Normal"/>
    <w:next w:val="Normal"/>
    <w:link w:val="TitleChar"/>
    <w:uiPriority w:val="10"/>
    <w:qFormat/>
    <w:pPr>
      <w:pBdr>
        <w:bottom w:val="single" w:sz="8" w:space="4" w:color="4F81BD" w:themeColor="accent1"/>
      </w:pBdr>
      <w:spacing w:lineRule="auto" w:line="240" w:before="0" w:after="240"/>
      <w:contextualSpacing/>
      <w:jc w:val="center"/>
    </w:pPr>
    <w:rPr>
      <w:rFonts w:ascii="Times New Roman" w:hAnsi="Times New Roman" w:eastAsia="黑体"/>
      <w:b/>
      <w:color w:val="000000"/>
      <w:spacing w:val="5"/>
      <w:kern w:val="2"/>
      <w:sz w:val="36"/>
      <w:szCs w:val="52"/>
    </w:rPr>
  </w:style>
  <w:style w:type="paragraph" w:styleId="NoSpacing">
    <w:name w:val="No Spacing"/>
    <w:uiPriority w:val="1"/>
    <w:qFormat/>
    <w:pPr>
      <w:widowControl/>
      <w:suppressAutoHyphens w:val="true"/>
      <w:bidi w:val="0"/>
      <w:spacing w:lineRule="auto" w:line="240" w:before="0" w:after="0"/>
      <w:jc w:val="start"/>
    </w:pPr>
    <w:rPr>
      <w:rFonts w:ascii="Cambria" w:hAnsi="Cambria" w:eastAsia="ＭＳ 明朝" w:cs="宋体"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0"/>
      <w:ind w:start="720"/>
      <w:contextualSpacing/>
    </w:pPr>
    <w:rPr/>
  </w:style>
  <w:style w:type="paragraph" w:styleId="Quote">
    <w:name w:val="Quote"/>
    <w:basedOn w:val="Normal"/>
    <w:next w:val="Normal"/>
    <w:link w:val="QuoteChar"/>
    <w:uiPriority w:val="29"/>
    <w:qFormat/>
    <w:pPr/>
    <w:rPr>
      <w:i/>
      <w:iCs/>
      <w:color w:themeColor="dark1" w:val="00000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user"/>
    <w:pPr/>
    <w:rPr/>
  </w:style>
  <w:style w:type="paragraph" w:styleId="TOCHeading" w:customStyle="1">
    <w:name w:val="TOC Heading"/>
    <w:basedOn w:val="Heading1"/>
    <w:next w:val="Normal"/>
    <w:uiPriority w:val="39"/>
    <w:semiHidden/>
    <w:unhideWhenUsed/>
    <w:qFormat/>
    <w:pPr>
      <w:outlineLvl w:val="9"/>
    </w:pPr>
    <w:rPr/>
  </w:style>
  <w:style w:type="paragraph" w:styleId="TableText" w:customStyle="1">
    <w:name w:val="TableText"/>
    <w:basedOn w:val="Normal"/>
    <w:uiPriority w:val="0"/>
    <w:qFormat/>
    <w:pPr>
      <w:spacing w:lineRule="auto" w:line="240" w:before="0" w:after="0"/>
      <w:ind w:hanging="0"/>
      <w:jc w:val="center"/>
    </w:pPr>
    <w:rPr>
      <w:rFonts w:ascii="Times New Roman" w:hAnsi="Times New Roman" w:eastAsia="宋体"/>
      <w:sz w:val="18"/>
    </w:rPr>
  </w:style>
  <w:style w:type="table" w:default="1" w:styleId="32">
    <w:name w:val="Normal Table"/>
    <w:uiPriority w:val="99"/>
    <w:semiHidden/>
    <w:unhideWhenUsed/>
    <w:tblPr>
      <w:tblCellMar>
        <w:top w:w="0" w:type="dxa"/>
        <w:left w:w="108" w:type="dxa"/>
        <w:bottom w:w="0" w:type="dxa"/>
        <w:right w:w="108" w:type="dxa"/>
      </w:tblCellMar>
    </w:tbl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Pr/>
    </w:tblStylePr>
    <w:tblStylePr w:type="nwCell">
      <w:rPr>
        <w:color w:val="000000" w:themeColor="text1"/>
      </w:rPr>
      <w:tblPr/>
    </w:tblStylePr>
  </w:style>
  <w:style w:type="table" w:styleId="112">
    <w:name w:val="Colorful Shading Accent 1"/>
    <w:basedOn w:val="32"/>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Pr/>
    </w:tblStylePr>
    <w:tblStylePr w:type="nwCell">
      <w:rPr>
        <w:color w:val="000000" w:themeColor="text1"/>
      </w:rPr>
      <w:tblPr/>
    </w:tblStylePr>
  </w:style>
  <w:style w:type="table" w:styleId="113">
    <w:name w:val="Colorful Shading Accent 2"/>
    <w:basedOn w:val="3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114">
    <w:name w:val="Colorful Shading Accent 3"/>
    <w:basedOn w:val="3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116">
    <w:name w:val="Colorful Shading Accent 5"/>
    <w:basedOn w:val="3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117">
    <w:name w:val="Colorful Shading Accent 6"/>
    <w:basedOn w:val="3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118">
    <w:name w:val="Colorful List"/>
    <w:basedOn w:val="32"/>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LibreOffice/26.8.0.3$Windows_X86_64 LibreOffice_project/bce0998afefdbc355585ca324285661a2170ba77</Application>
  <AppVersion>15.0000</AppVersion>
  <Pages>8</Pages>
  <Words>4159</Words>
  <Characters>5632</Characters>
  <CharactersWithSpaces>5711</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2026-10-09T21:25:54Z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093AE379D4204B3C88331276C126B37C_12</vt:lpwstr>
  </property>
  <property fmtid="{D5CDD505-2E9C-101B-9397-08002B2CF9AE}" pid="3" name="KSOProductBuildVer">
    <vt:lpwstr>2052-12.1.0.28505</vt:lpwstr>
  </property>
  <property fmtid="{D5CDD505-2E9C-101B-9397-08002B2CF9AE}" pid="4" name="KSOTemplateDocerSaveRecord">
    <vt:lpwstr>eyJoZGlkIjoiMmUyMWU1ZTBmZTA4YmEyNDA3NjUyZWI0ZDFhOWQ0YzYiLCJ1c2VySWQiOiI3MjY0NjIwNjIifQ==</vt:lpwstr>
  </property>
</Properties>
</file>