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5806" w14:textId="6CBCAB39" w:rsidR="00B5045B" w:rsidRDefault="00D04DCB" w:rsidP="00D04DCB">
      <w:pPr>
        <w:pStyle w:val="ListParagraph"/>
        <w:numPr>
          <w:ilvl w:val="0"/>
          <w:numId w:val="1"/>
        </w:numPr>
        <w:jc w:val="both"/>
      </w:pPr>
      <w:r>
        <w:t>Documento que documente la asignación de la responsabilidad de dirigir y controlar los activos TI a la estructura/oficina del CIO. Basado en código 19.</w:t>
      </w:r>
    </w:p>
    <w:p w14:paraId="1D019A70" w14:textId="77777777" w:rsidR="00D04DCB" w:rsidRDefault="00D04DCB" w:rsidP="00D04DCB">
      <w:pPr>
        <w:pStyle w:val="ListParagraph"/>
        <w:jc w:val="both"/>
      </w:pPr>
    </w:p>
    <w:p w14:paraId="318F97BB" w14:textId="0312B723" w:rsidR="00D04DCB" w:rsidRDefault="00D04DCB" w:rsidP="00D04DCB">
      <w:pPr>
        <w:pStyle w:val="ListParagraph"/>
        <w:numPr>
          <w:ilvl w:val="0"/>
          <w:numId w:val="1"/>
        </w:numPr>
        <w:jc w:val="both"/>
      </w:pPr>
      <w:r>
        <w:t>Documento que presente el IT Governance framework creado para la empresa en concreto. Basado en códigos 20 y 21.</w:t>
      </w:r>
    </w:p>
    <w:sectPr w:rsidR="00D04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C3E94"/>
    <w:multiLevelType w:val="hybridMultilevel"/>
    <w:tmpl w:val="C6321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72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AC"/>
    <w:rsid w:val="00313094"/>
    <w:rsid w:val="005520AC"/>
    <w:rsid w:val="009D3DA2"/>
    <w:rsid w:val="00D0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6A84"/>
  <w15:chartTrackingRefBased/>
  <w15:docId w15:val="{A45051EB-B0BC-40C8-B4DF-CF2B787A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2</cp:revision>
  <dcterms:created xsi:type="dcterms:W3CDTF">2022-06-07T08:25:00Z</dcterms:created>
  <dcterms:modified xsi:type="dcterms:W3CDTF">2022-06-07T08:29:00Z</dcterms:modified>
</cp:coreProperties>
</file>